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宋体" w:hAnsi="宋体"/>
          <w:b/>
          <w:color w:val="auto"/>
          <w:kern w:val="0"/>
          <w:sz w:val="44"/>
          <w:szCs w:val="44"/>
        </w:rPr>
      </w:pPr>
      <w:bookmarkStart w:id="1" w:name="_GoBack"/>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托克逊县退役军人事务局2024年单位预算公开</w:t>
      </w: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hint="eastAsia" w:ascii="宋体" w:hAnsi="宋体"/>
          <w:b/>
          <w:color w:val="auto"/>
          <w:kern w:val="0"/>
          <w:sz w:val="44"/>
          <w:szCs w:val="44"/>
        </w:rPr>
      </w:pP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一、关于托克逊县退役军人事务局单位2024年收支预算情况的总体说明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二、关于托克逊县退役军人事务局单位2024年收入预算情况说明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三、关于托克逊县退役军人事务局单位2024年支出预算情况说明</w:t>
      </w:r>
    </w:p>
    <w:p>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四、关于托克逊县退役军人事务局单位2024年财政拨款收支预算情况的总体说明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五、关于托克逊县退役军人事务局单位2024年一般公共预算当年拨款情况说明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六、关于托克逊县退役军人事务局单位2024年一般公共预算基本支出情况说明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七、关于托克逊县退役军人事务局单位2024年一般公共预算项目支出情况说明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八、关于托克逊县退役军人事务局单位2024年政府性基金预算拨款情况说明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九、关于托克逊县退役军人事务局单位2024年国有资本经营预算拨款情况说明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十、关于托克逊县退役军人事务局单位2024年财政拨款“三公”经费预算情况说明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十一、关于托克逊县退役军人事务局单位2024年上年结转结余预算情况说明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hint="eastAsia" w:ascii="宋体" w:hAnsi="宋体"/>
          <w:b/>
          <w:color w:val="auto"/>
          <w:kern w:val="0"/>
          <w:sz w:val="32"/>
          <w:szCs w:val="32"/>
        </w:rPr>
      </w:pP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（一）负责退役军人思想政治、管理保障和安置优抚等工作政策法规的组织实施，褒扬彰显退役军人为党、国家和人民牺牲奉献的精神风范和价值导向。</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（二）负责军人转业干部、复员干部、离退休干部、退役士兵和无军籍退休退职职工的移交安置工作。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（三）贯彻落实全区军队转业干部、退役士兵、随军家属及随调家属安置办法及安置计划并组织实施。</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（四）负责退役军人教育培训、优待抚恤等工作。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（五）负责自主择业军队转业干部服务管理、待遇保障等工作，承担军队转业干部安置工作小组办公室日常工作。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（六）组织指导拥军优属活动，承担审核、报批、褒扬革命烈士工作，负责优抚对象的抚恤，指导优抚事业单位的管理，承担双拥工作领导小组办公室的日常工作。</w:t>
      </w: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托克逊县退役军人事务局单位无下属预算单位，下设1个处室，分别是：包括当年变动情况及原因：我单位下设办公室、拥军优抚和权益维护科。双拥办、退役军人服务中心、财务室。</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托克逊县退役军人事务局单位编制数9，实有人数14人，其中：在职13人，增加0人；退休1人，增加0人；离休0人，增加0人。</w:t>
      </w:r>
    </w:p>
    <w:p>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1180.75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1160.75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649.21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511.54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1239.92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17.33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92.00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92.00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92.00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15.50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1272.75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1272.75</w:t>
            </w:r>
          </w:p>
        </w:tc>
      </w:tr>
    </w:tbl>
    <w:p>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3889"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1239.92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1128.49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624.36</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504.13</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91.43</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20.26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20.26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20.26</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0.95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0.95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0.95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19.31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19.31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19.31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抚恤</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757.86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676.17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172.88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503.29</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81.69</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死亡抚恤</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伤残抚恤</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135.70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76.88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76.88</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58.82</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义务兵优待</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192.87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170.00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80.00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22.87</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褒扬纪念</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5.00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其他优抚支出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423.29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423.29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423.29</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退役安置</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271.38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261.64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260.80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0.84</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9.74</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退役士兵管理教育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9.74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9.74</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军队转业干部安置</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0.27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0.27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0.27</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09</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其他退役安置支出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261.37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261.37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260.80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0.57</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退役军人管理事务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190.42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170.42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170.42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160.42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140.42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140.42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04</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拥军优属</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30.00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30.00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17.33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16.76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9.35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7.41</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0.57</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9.35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9.35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9.35</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8.21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8.21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8.21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1.14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优抚对象医疗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7.98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7.41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7.41</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0.57</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优抚对象医疗补助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0.57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0.57</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14</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其他优抚对象医疗支出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7.41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7.41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7.41</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15.50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15.50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15.50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15.50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15.50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15.50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15.50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15.50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15.50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1272.75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1160.75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649.21</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511.54</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92.00</w:t>
            </w: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bl>
    <w:p>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编制单位：托克逊县退役军人事务局</w:t>
            </w:r>
          </w:p>
        </w:tc>
        <w:tc>
          <w:tcPr>
            <w:tcW w:w="130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1239.92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160.68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1079.24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20.26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20.26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19.31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19.31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抚恤</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757.86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757.86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死亡抚恤</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伤残抚恤</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135.70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135.70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义务兵优待</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192.87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192.87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褒扬纪念</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5.00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其他优抚支出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423.29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423.29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退役安置</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271.38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271.38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退役士兵管理教育</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9.74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9.74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军队转业干部安置</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其他退役安置支出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261.37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261.37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退役军人管理事务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190.42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140.42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160.42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140.42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拥军优属</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30.00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17.33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9.35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9.35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9.35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8.21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8.21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优抚对象医疗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7.98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7.98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优抚对象医疗补助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其他优抚对象医疗支出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7.41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7.41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15.50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15.50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15.50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15.50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15.50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15.50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1272.75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185.53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1087.22</w:t>
            </w:r>
          </w:p>
        </w:tc>
      </w:tr>
    </w:tbl>
    <w:p>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211"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1989" w:type="dxa"/>
            <w:gridSpan w:val="3"/>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181"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1160.75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1160.75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1128.49</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1128.49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16.76</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16.76</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15.50</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15.50</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1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1160.75</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1160.75</w:t>
            </w:r>
          </w:p>
        </w:tc>
        <w:tc>
          <w:tcPr>
            <w:tcW w:w="851"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1160.75</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15"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1307"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1128.49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160.68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967.81</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20.26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20.26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19.31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19.31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抚恤</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676.17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676.17</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死亡抚恤</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伤残抚恤</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76.88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76.88</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义务兵优待</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褒扬纪念</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其他优抚支出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423.29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423.29</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09</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退役安置</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261.64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261.64</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军队转业干部安置</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0.27</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其他退役安置支出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261.37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261.37</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退役军人管理事务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170.42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140.42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140.42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140.42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28</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拥军优属</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16.76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7.41</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9.35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8.21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优抚对象医疗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7.41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7.41</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其他优抚对象医疗支出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7.41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7.41</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15.50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1160.75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185.53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975.22</w:t>
            </w: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174.68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174.68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28.69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28.69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26.52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26.52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21.07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21.07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4.46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4.46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19.31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19.31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8.21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8.21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15.50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49.22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49.22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9.90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9.90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0.84</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2.34</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0.27</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0.95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0.95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0.95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185.53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175.63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9.90</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272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社会保障和就业支出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967.81</w:t>
            </w:r>
          </w:p>
        </w:tc>
        <w:tc>
          <w:tcPr>
            <w:tcW w:w="7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22.84</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934.97</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抚恤</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676.17</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5.00</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671.17</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01</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死亡抚恤</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2024年“60周岁农村籍退役士兵”丧葬费</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伤残抚恤</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2024年优抚对象抚恤和生活补助（县级配套）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伤残抚恤</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2024年上半年下半年部分重点优抚对象地方财政补助资金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26.88</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26.88</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义务兵优待</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2024年义务兵家庭优待金（县级配套）</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义务兵优待</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吐市财社[2023]64号中央财政优抚对象补助经费（义务兵优待金）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80.00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褒扬纪念</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2024年烈士陵园修缮工作经费</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5.00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其他优抚支出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吐市财社[2023]57号2024年中央财政优抚对象补助经费（直达资金）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169.24</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169.24</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其他优抚支出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吐市财社[2023]91号2024年自治区优抚对象补助经费（直达资金）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254.05</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254.05</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09</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退役安置</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261.64</w:t>
            </w:r>
          </w:p>
        </w:tc>
        <w:tc>
          <w:tcPr>
            <w:tcW w:w="7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0.84</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250.80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军队转业干部安置</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*001</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0.27</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0.27</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其他退役安置支出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*004</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其他退役安置支出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*003</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0.80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其他退役安置支出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*005</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7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10.00</w:t>
            </w: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其他退役安置支出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*006</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0.57</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0.57</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其他退役安置支出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*002</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240.00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240.00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28</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退役军人管理事务</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30.00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17.00</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13.00</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拥军优属</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2024年双拥工作及节日部队慰问工作经费</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30.00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17.00</w:t>
            </w: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13.00</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7.41</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7.41</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14</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优抚对象医疗</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7.41</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7.41</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14</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其他优抚对象医疗支出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吐市财社[2023]56号2024年中央财政优抚对象医疗保障经费（直达资金）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7.41</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p>
        </w:tc>
        <w:tc>
          <w:tcPr>
            <w:tcW w:w="67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7.41</w:t>
            </w: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p>
        </w:tc>
        <w:tc>
          <w:tcPr>
            <w:tcW w:w="2170"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975.22</w:t>
            </w:r>
          </w:p>
        </w:tc>
        <w:tc>
          <w:tcPr>
            <w:tcW w:w="7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10.00</w:t>
            </w: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22.84</w:t>
            </w:r>
          </w:p>
        </w:tc>
        <w:tc>
          <w:tcPr>
            <w:tcW w:w="67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942.38</w:t>
            </w: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备注：托克逊县退役军人事务局2024年没有使用政府性基金预算拨款安排的支出，政府性基金预算支出情况表为空表。</w:t>
      </w: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备注：托克逊县退役军人事务局2024年没有使用国有资本经营预算拨款安排的支出，国有资本经营预算支出情况表为空表。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84"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1312"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备注：托克逊县退役军人事务局2024年未安排三公经费预算，三公经费支出情况表为空表。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编制单位：托克逊县退役军人事务局</w:t>
            </w:r>
          </w:p>
        </w:tc>
        <w:tc>
          <w:tcPr>
            <w:tcW w:w="2000" w:type="dxa"/>
            <w:gridSpan w:val="2"/>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13"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92.00</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92.00</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92.00</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2022年中央财政优抚对象补助资金</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22.87</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22.87</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22.87</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自治区优抚对象补助经费</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58.82</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58.82</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58.82</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中央财政退役安置补助经费</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0.14</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0.14</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0.14</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吐市财社[2023]42号中央财政优抚对象医疗保障经费</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0.57</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0.57</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0.57</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吐市财社[2023]55号中央财政退役安置补助经费</w:t>
            </w:r>
          </w:p>
        </w:tc>
        <w:tc>
          <w:tcPr>
            <w:tcW w:w="850"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9.60</w:t>
            </w:r>
          </w:p>
        </w:tc>
        <w:tc>
          <w:tcPr>
            <w:tcW w:w="105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9.60</w:t>
            </w: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r>
              <w:rPr>
                <w:rFonts w:hint="eastAsia" w:ascii="仿宋_GB2312" w:hAnsi="宋体" w:eastAsia="仿宋_GB2312"/>
                <w:color w:val="auto"/>
                <w:kern w:val="0"/>
                <w:sz w:val="18"/>
                <w:szCs w:val="18"/>
              </w:rPr>
              <w:t>9.60</w:t>
            </w: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bl>
    <w:p>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hint="eastAsia" w:ascii="楷体_GB2312" w:hAnsi="楷体_GB2312" w:eastAsia="楷体_GB2312"/>
          <w:color w:val="auto"/>
          <w:kern w:val="0"/>
          <w:sz w:val="32"/>
          <w:szCs w:val="32"/>
        </w:rPr>
      </w:pP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关于托克逊县退役军人事务局单位2024年收支预算情况的总体说明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按照全口径预算的原则，托克逊县退役军人事务局单位2024年所有收入和支出均纳入单位预算管理。收支总预算1272.75万元。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二、关于托克逊县退役军人事务局单位2024年收入预算情况说明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托克逊县退役军人事务局单位收入预算1272.75万元，其中：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一般公共预算649.21万元，占51.01%，比上年预算增加5.97万元，增长0.93%，主要原因是2024年增加县级项目褒扬纪念经费，导致预算较上年增加</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511.54万元，占40.19%，比上年预算减少45.91万元，下降8.24%，主要原因是中央财政优抚对象补助经费、自治区自主择业军队转业干部及逐月领取退役金退役军人管理服务补助经费、中央财政军队转业干部补助经费、2024年中央财政优抚对象医疗保障经费（直达资金）、2024年中央财政优抚对象补助经费（直达资金）、2024年自治区优抚对象补助经费（直达资金）</w:t>
      </w:r>
      <w:r>
        <w:rPr>
          <w:rFonts w:hint="eastAsia" w:ascii="仿宋_GB2312" w:hAnsi="宋体" w:eastAsia="仿宋_GB2312" w:cs="宋体"/>
          <w:color w:val="auto"/>
          <w:kern w:val="0"/>
          <w:sz w:val="32"/>
          <w:szCs w:val="32"/>
          <w:lang w:val="en-US" w:eastAsia="zh-CN"/>
        </w:rPr>
        <w:t>较上年减少</w:t>
      </w:r>
      <w:r>
        <w:rPr>
          <w:rFonts w:hint="eastAsia" w:ascii="仿宋_GB2312" w:hAnsi="宋体" w:eastAsia="仿宋_GB2312" w:cs="宋体"/>
          <w:color w:val="auto"/>
          <w:kern w:val="0"/>
          <w:sz w:val="32"/>
          <w:szCs w:val="32"/>
        </w:rPr>
        <w:t>，2024年预算呈下降趋势</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单位资金20.00万元，占1.57%，比上年预算减少1.33万元，下降6.24%，主要原因是单位资金为基本户资金，年底根据财政局相关要求上缴清零，20万元为援疆资金预算。导致2024年预算下降</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财政拨款结转92.00万元，占7.23%，比上年预算减少48.48万元，下降34.51%，主要原因是2023年上级一般公共预算安排的转移支付资金支出较多，</w:t>
      </w:r>
      <w:r>
        <w:rPr>
          <w:rFonts w:hint="eastAsia" w:ascii="仿宋_GB2312" w:hAnsi="宋体" w:eastAsia="仿宋_GB2312" w:cs="宋体"/>
          <w:color w:val="auto"/>
          <w:kern w:val="0"/>
          <w:sz w:val="32"/>
          <w:szCs w:val="32"/>
          <w:lang w:val="en-US" w:eastAsia="zh-CN"/>
        </w:rPr>
        <w:t>本年只结转了2022年中央财政优抚对象补助资金、自治区优抚对象补助经费、中央财政退役安置补助经费、中央财政优抚对象医疗保障经费、中央财政退役安置补助经费、</w:t>
      </w:r>
      <w:r>
        <w:rPr>
          <w:rFonts w:hint="eastAsia" w:ascii="仿宋_GB2312" w:hAnsi="宋体" w:eastAsia="仿宋_GB2312" w:cs="宋体"/>
          <w:color w:val="auto"/>
          <w:kern w:val="0"/>
          <w:sz w:val="32"/>
          <w:szCs w:val="32"/>
        </w:rPr>
        <w:t>财政拨款结转减少，导致预算较上年减少</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三、关于托克逊县退役军人事务局单位2024年支出预算情况说明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托克逊县退役军人事务局单位2024年支出预算1272.75万元，其中：</w:t>
      </w:r>
    </w:p>
    <w:p>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185.53万元，占14.58%，比上年预算减少301.71万元，下降61.92%，主要原因是2024年项目进行优化，退役士兵一次性经济补助金以及其他对退役军人补助类资金做成项目，单独列出，不在基本支出中体现。导致2024年基本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项目支出1087.22万元，占85.42%，比上年预算增加211.96万元，增长24.22%，主要原因是</w:t>
      </w:r>
      <w:r>
        <w:rPr>
          <w:rFonts w:hint="eastAsia" w:ascii="仿宋_GB2312" w:hAnsi="宋体" w:eastAsia="仿宋_GB2312" w:cs="宋体"/>
          <w:color w:val="auto"/>
          <w:kern w:val="0"/>
          <w:sz w:val="32"/>
          <w:szCs w:val="32"/>
          <w:lang w:val="en-US" w:eastAsia="zh-CN"/>
        </w:rPr>
        <w:t>新增</w:t>
      </w:r>
      <w:r>
        <w:rPr>
          <w:rFonts w:hint="eastAsia" w:ascii="仿宋_GB2312" w:hAnsi="宋体" w:eastAsia="仿宋_GB2312" w:cs="宋体"/>
          <w:color w:val="auto"/>
          <w:kern w:val="0"/>
          <w:sz w:val="32"/>
          <w:szCs w:val="32"/>
        </w:rPr>
        <w:t>退役士兵一次性经济补助金以及其他对退役军人补助类资金</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导致2024年项目支出预算较上年增加。</w:t>
      </w:r>
    </w:p>
    <w:p>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四、关于托克逊县退役军人事务局单位2024年财政拨款收支预算情况的总体说明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2024年财政拨款收支总预算1160.75万元。</w:t>
      </w:r>
    </w:p>
    <w:p>
      <w:pPr>
        <w:spacing w:line="560" w:lineRule="exact"/>
        <w:ind w:firstLine="616" w:firstLineChars="200"/>
        <w:rPr>
          <w:rFonts w:hint="eastAsia"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收入预算包括：一般公共预算拨款1160.75万元。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1128.49万元，主要用于保障单位正常运行的人员经费、公用经费支出及单位人员社保缴费支出;卫生健康支出16.76万元，主要用于单位人员医疗保险缴费支出;住房保障支出15.50万元，主要用于单位人员住房公积金缴费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五、关于托克逊县退役军人事务局单位2024年一般公共预算当年拨款情况说明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托克逊县退役军人事务局单位2024年一般公共预算拨款合计1160.75万元，其中：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185.53万元，比上年预算减少301.71万元，下降61.92%。主要原因是：2024年项目进行优化，退役士兵一次性经济补助金以及其他对退役军人补助类资金做成项目，单独列出，不在基本支出中体现。导致2024年基本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项目支出975.22万元，比上年预算增加261.77万元，增长36.69%。主要原因是：</w:t>
      </w:r>
      <w:r>
        <w:rPr>
          <w:rFonts w:hint="eastAsia" w:ascii="仿宋_GB2312" w:eastAsia="仿宋_GB2312"/>
          <w:color w:val="auto"/>
          <w:sz w:val="32"/>
          <w:szCs w:val="32"/>
          <w:lang w:val="en-US" w:eastAsia="zh-CN"/>
        </w:rPr>
        <w:t>新增</w:t>
      </w:r>
      <w:r>
        <w:rPr>
          <w:rFonts w:hint="eastAsia" w:ascii="仿宋_GB2312" w:hAnsi="宋体" w:eastAsia="仿宋_GB2312" w:cs="宋体"/>
          <w:color w:val="auto"/>
          <w:kern w:val="0"/>
          <w:sz w:val="32"/>
          <w:szCs w:val="32"/>
        </w:rPr>
        <w:t>退役士兵一次性经济补助金以及其他对退役军人补助类资金</w:t>
      </w:r>
      <w:r>
        <w:rPr>
          <w:rFonts w:hint="eastAsia" w:ascii="仿宋_GB2312" w:eastAsia="仿宋_GB2312"/>
          <w:color w:val="auto"/>
          <w:sz w:val="32"/>
          <w:szCs w:val="32"/>
          <w:lang w:eastAsia="zh-CN"/>
        </w:rPr>
        <w:t>，</w:t>
      </w:r>
      <w:r>
        <w:rPr>
          <w:rFonts w:hint="eastAsia" w:ascii="仿宋_GB2312" w:eastAsia="仿宋_GB2312"/>
          <w:color w:val="auto"/>
          <w:sz w:val="32"/>
          <w:szCs w:val="32"/>
        </w:rPr>
        <w:t>导致2024年项目支出增加。</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1.社会保障和就业支出（类）1128.49万元，占97.22%。</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2.卫生健康支出（类）16.76万元，占1.44%。</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3.住房保障支出（类）15.50万元，占1.34%。</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行政单位离退休（项）：2024年预算数为0.95万元，比上年预算减少0.08万元，下降7.77%，主要原因是：政策调整退休人员医疗费不在安排预算，导致2024年项目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19.31万元，比上年预算减少1.53万元，下降7.34%，主要原因是：临聘人员减少1人（地方性事业编），因此基本养老支出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抚恤（款）死亡抚恤（项）：2024年预算数为1.00万元，比上年预算增加1.00万元，增长100.00%，主要原因是：2024年项目进行优化，新增“60周岁农村籍退役士兵”丧葬费项目，导致2024年死亡抚恤项预算数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社会保障和就业支出（类）抚恤（款）伤残抚恤（项）：2024年预算数为76.88万元，比上年预算增加76.88万元，增长100.00%，主要原因是：2024年项目进行优化，新增县级配套项目伤残抚恤预算，导致2024年伤残抚恤项预算数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5.社会保障和就业支出（类）抚恤（款）义务兵优待（项）：2024年预算数为170.00万元，比上年预算减少74.00万元，下降30.33%，主要原因是：义务兵优待金预算数根据上一年度发放使用情况进行申请，申请金额减少</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导致2024年预算数较上年下降。</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6.社会保障和就业支出（类）抚恤（款）褒扬纪念（项）：2024年预算数为5.00万元，比上年预算增加5.00万元，增长100.00%，主要原因是：2024年新增烈士陵园褒扬纪念项目。导致2024年预算数较上年增长。</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社会保障和就业支出（类）抚恤（款）其他优抚支出（项）：2024年预算数为423.29万元，比上年预算增加38.84万元，增长10.10%，主要原因是：根据2023年底上报符合发放人数和使用情况进行拨付，2024年符合发放人数增加，导致2024年预算较上年增长。</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社会保障和就业支出（类）退役安置（款）军队转业干部安置（项）：2024年预算数为0.27万元，比上年预算增加0.27万元，增长100.00%，主要原因是：2024年项目优化，新增军队转业干部安置项目，导致2024年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社会保障和就业支出（类）退役安置（款）其他退役安置支出（项）：2024年预算数为261.37万元，比上年预算增加196.37万元，增长302.11%，主要原因是：2024年项目进行优化，退役军人一次性补助金列入其他退役安置支出，资金调入</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导致2024年预算数较上年增加。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10.社会保障和就业支出（类）退役军人管理事务（款）行政运行（项）：2024年预算数为140.42万元，比上年预算减少287.79万元，下降67.21%，主要原因是：2024年项目进行优化，退役军人一次性补助金列入其他退役安置支出，资金调出。导致2024年行政运行预算数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11.社会保障和就业支出（类）退役军人管理事务（款）拥军优属（项）：2024年预算数为30.00万元，比上年预算增加10.00万元，增长50.00%，主要原因是：根据2023年双拥资金使用情况和今年需要完成全国双拥模范城创建任务，增加10万元预算</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导致2024年预算较上年增加。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12.卫生健康支出（类）行政事业单位医疗（款）行政单位医疗（项）：2024年预算数为8.21万元，比上年预算减少0.65万元，下降7.34%，主要原因是：临聘人员减少1人（地方性事业编），行政单位医疗支出降低</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导致2024年预算较上年减少。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13.卫生健康支出（类）行政事业单位医疗（款）公务员医疗补助（项）：2024年预算数为1.14万元，比上年预算减少0.26万元，下降18.57%，主要原因是：公务员减少1人相应支出降低</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导致2024年公务员医疗补助预算较上年减少。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14.卫生健康支出（类）优抚对象医疗（款）其他优抚对象医疗支出（项）：2024年预算数为7.41万元，比上年预算增加7.41万元，增长100.00%，主要原因是：2024年项目发生变化，新增其他优抚对象医疗支出项目，导致2024年其他优抚对象医疗支出预算较上年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15.住房保障支出（类）住房改革支出（款）住房公积金（项）：2024年预算数为15.50万元，比上年预算减少0.99万元，下降6.00%，主要原因是：临聘人员减少1人（地方性事业编）相应支出降低</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导致2024年住房公积金预算较上年减少。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16.社会保障和就业支出（类）行政事业单位养老支出（款）机关事业单位职业年金缴费支出（项）：2024年预算数为0.00万元，比上年预算减少10.41万元，下降100.00%，主要原因是：本年度职业年金预算由政府（财政）预算代列，未直接体现在部门预算里，导致本单位该项预算较上年减少。</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六、关于托克逊县退役军人事务局单位2024年一般公共预算基本支出情况说明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托克逊县退役军人事务局单位2024年一般公共预算基本支出185.53万元，其中：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175.63万元，主要包括：基本工资、津贴补贴、奖金、绩效工资、机关事业单位基本养老保险缴费、职工基本医疗保险缴费、公务员医疗补助缴费、其他社会保障缴费、住房公积金、其他工资福利支出、退休费。</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公用经费9.90万元，主要包括：办公费、印刷费、水费、电费、邮电费、物业管理费、差旅费、维修（护）费、工会经费、其他交通费用、其他商品和服务支出。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七、关于托克逊县退役军人事务局单位2024年一般公共预算项目支出情况说明</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（一）项目名称：2024年“60周岁农村籍退役士兵”丧葬费</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优抚对象补助资金主要用于保障优抚对象的生活水平不低于当地居民的平均生活水平，解决优抚对象生活难的问题。各地州市要按标准、按要求及时足额发放抚恤补助金。可以促进社会公平，切实维护好全区优抚对象的生活权益，为我们的优抚对象提供服务和帮助，充分发挥了拥军优属的光荣传统。项目立项依据：《自治区农村老干部、老党员、老模范、老军人管理办法》的通知（新党办法[2015]40号《自治区优抚对象服务管理暂行规定的通知（新退役军人规[2019]1号；《关于对我地区重点优抚对象实行地方补助的通知》（吐地民字[2006]68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资金分配情况：用该资金给2024年去世的60周岁以上农村籍退役士兵发放丧葬费1.00万元，标准每人1000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（二）项目名称：2024年上半年下半年部分重点优抚对象地方财政补助资金</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优抚对象补助资金主要用于保障优抚对象的生活水平不低于当地居民的平均生活水平，解决优抚对象生活难的问题。各地州市要按标准、按要求及时足额发放抚恤补助金。可以促进社会公平，切实维护好全区优抚对象的生活权益，为我们的优抚对象提供服务和帮助，充分发挥了拥军优属的光荣传统。项目立项依据：《自治区农村老干部、老党员、老模范、老军人管理办法》的通知（新党办法[2015]40号《自治区优抚对象服务管理暂行规定的通知（新退役军人规[2019]1号；《关于对我地区重点优抚对象实行地方补助的通知》（吐地民字[2006]68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预算安排规模：26.88万元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资金分配情况：为部分优抚对象27人发放上下半年地方财政补助资金26.88万元。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（三）项目名称：2024年优抚对象抚恤和生活补助（县级配套）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优抚对象补助资金主要用于保障优抚对象的生活水平不低于当地居民的平均生活水平，解决优抚对象生活难的问题。各地州市要按标准、按要求及时足额发放抚恤补助金。可以促进社会公平，切实维护好全区优抚对象的生活权益，为我们的优抚对象提供服务和帮助，充分发挥了拥军优属的光荣传统。项目立项依据：《自治区农村老干部、老党员、老模范、老军人管理办法》的通知（新党办法[2015]40号《自治区优抚对象服务管理暂行规定的通知（新退役军人规[2019]1号；《关于对我地区重点优抚对象实行地方补助的通知》（吐地民字[2006]68号</w:t>
      </w:r>
      <w:r>
        <w:rPr>
          <w:rFonts w:hint="eastAsia" w:ascii="仿宋_GB2312" w:hAnsi="黑体" w:eastAsia="仿宋_GB2312"/>
          <w:color w:val="auto"/>
          <w:sz w:val="32"/>
          <w:szCs w:val="32"/>
          <w:lang w:eastAsia="zh-CN"/>
        </w:rPr>
        <w:t>）</w:t>
      </w:r>
      <w:r>
        <w:rPr>
          <w:rFonts w:ascii="仿宋_GB2312" w:hAnsi="黑体" w:eastAsia="仿宋_GB2312"/>
          <w:color w:val="auto"/>
          <w:sz w:val="32"/>
          <w:szCs w:val="32"/>
        </w:rPr>
        <w:t>。</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预算安排规模：50.00万元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两参”人员体检费去自治区体检中心体检，支付15位“两参”人员的体检费，交通费和伙食费2万元、优抚对象“春节”“清明节”和八一建军节“等为240名优抚对象进行节日慰问等补助费用48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（四）项目名称：2024年义务兵家庭优待金（县级配套）</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进一步完善义务兵家庭优待政策，鼓励适龄公民履行兵役义务，有效履行新时代军队崇高使命，确保优待金标准与当地经济发展和人民群众生活水平同步提高。激发征兵积极性，提高广大青年参军报国积极性，为国家建设培养更加优秀的人才，进一步完善我国军人社会保障体系。立项依据：《新疆维吾尔自治区义务兵家庭优待金发放办法》（新政办发[2021]119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预算安排规模：90.00万元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资金分配情况：为从托克逊县入伍的160名现役军人家属发放义务兵家庭优待金，每户人家一年发放10000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元，合计金额80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万元，为2024年退役回来退役士兵发放义务兵家庭优待金增发部分，例如：高原服役义务兵家庭优待金增发部分、延迟退役义务兵家庭优待金增发部分和立功受奖增发部分等。</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（五）项目名称：吐市财社[2023]64号中央财政优抚对象补助经费（义务兵优待金）</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设立的政策依据：项目背景：进一步完善义务兵家庭优待政策，鼓励适龄公民履行兵役义务，有效履行新时代军队崇高使命，确保优待金标准与当地经济发展和人民群众生活水平同步提高。激发征兵积极性，提高广大青年参军报国积极性，为国家建设培养更加优秀的人才，进一步完善我国军人社会保障体系。立项依据：《新疆维吾尔自治区义务兵家庭优待金发放办法》（新政办发[2021]119号）</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预算安排规模：80.00万元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资金分配情况：为从托克逊县入伍的160名现役军人家属发放义务兵家庭优待金，每户人家一年发放10000</w:t>
      </w:r>
      <w:r>
        <w:rPr>
          <w:rFonts w:hint="eastAsia" w:ascii="仿宋_GB2312" w:hAnsi="黑体" w:eastAsia="仿宋_GB2312"/>
          <w:color w:val="auto"/>
          <w:sz w:val="32"/>
          <w:szCs w:val="32"/>
          <w:lang w:val="en-US" w:eastAsia="zh-CN"/>
        </w:rPr>
        <w:t>.00</w:t>
      </w:r>
      <w:r>
        <w:rPr>
          <w:rFonts w:hint="eastAsia" w:ascii="仿宋_GB2312" w:hAnsi="黑体" w:eastAsia="仿宋_GB2312"/>
          <w:color w:val="auto"/>
          <w:sz w:val="32"/>
          <w:szCs w:val="32"/>
        </w:rPr>
        <w:t>元，合计金额80</w:t>
      </w:r>
      <w:r>
        <w:rPr>
          <w:rFonts w:hint="eastAsia" w:ascii="仿宋_GB2312" w:hAnsi="黑体" w:eastAsia="仿宋_GB2312"/>
          <w:color w:val="auto"/>
          <w:sz w:val="32"/>
          <w:szCs w:val="32"/>
          <w:lang w:val="en-US" w:eastAsia="zh-CN"/>
        </w:rPr>
        <w:t>.00</w:t>
      </w:r>
      <w:r>
        <w:rPr>
          <w:rFonts w:hint="eastAsia" w:ascii="仿宋_GB2312" w:hAnsi="黑体" w:eastAsia="仿宋_GB2312"/>
          <w:color w:val="auto"/>
          <w:sz w:val="32"/>
          <w:szCs w:val="32"/>
        </w:rPr>
        <w:t>万元，为2024年退役回来退役士兵发放义务兵家庭优待金增发部分，例如：高原服役义务兵家庭优待金增发部分、延迟退役义务兵家庭优待金增发部分和立功受奖增发部分等。</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（六）项目名称：2024年烈士陵园修缮工作经费</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1、为了纪念在战争、革命和社会事业中为国家和人民英勇献身的烈士的重要场所，承载着人民对英雄的崇敬和追思之情，具有重要的历史和纪念意义。然而，随着时间推移，原有的烈士纪念设施已经存在一些老化、损坏甚至破坏的情况，迫切需求进行维修改造。2、立项依据：1.相关法律法规：《烈士保护法》等法规规定了烈士陵园修缮的相关事宜，需要依照法律法规执行。2.修缮项目评估：对于烈士陵园的修缮工程，需要进行实地调研和评估，确定修缮项目的具体内容和费用，以及修缮后的效果。3.政府计划和预算：烈士陵园修缮工作一般由政府负责，并纳入当地政府的年度计划和预算中，需要按照计划和预算执行。4.资金来源：烈士陵园修缮工作所需资金一般来自政府财政拨款、社会捐赠等渠道，需要明确资金来源和用途。5.修缮标准和要求：烈士陵园修缮工作需要按照一定的标准和要求进行，需要了解和执行相关标准和要求。</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预算安排规模：5.00万元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资金分配情况：通过对阿乐惠烈士陵园的系统勘查，对烈士纪念设施的损坏和老化情况进行评估，制定并实施修复计划预算5.00万元。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（七）项目名称：吐市财社[2023]57号2024年中央财政优抚对象补助经费（直达资金）</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设立的政策依据：为认真落实国家和自治区抚恤优待政策，做好新时代自治区优抚对象服务管理工作，根据国家部署，不断加大资金投入，有效保障了各类优抚对象生活补助政策得到全面落实，维护了优抚对象的合法权益。立项依据：《关于调整部分优抚对象等人员抚恤和生活补助标准的通知》（新退役军人发[2023]36号）</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预算安排规模：169.24万元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分配情况：1.退出现役的一致十级残疾军人（包括参战伤残民兵、民工）；2.烈士遗属、因公牺牲军人遗属、病故军人遗属、老烈士子女；3、在乡老复员军人；4、带病回乡退伍军人；5、享受生活补助待遇的参战和涉核退役军人。6、60周岁以上农村籍退役士兵老年生活补助，优抚对象补助资金计划对以上六类人员（总240人），按标准、按要求每月及时足额发放抚恤补助金，通过12次发放完成169.24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（八）项目名称：吐市财社[2023]91号2024年自治区优抚对象补助经费（直达资金）</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设立的政策依据：为认真落实国家和自治区抚恤优待政策，做好新时代自治区优抚对象服务管理工作，根据国家部署，不断加大资金投入，有效保障了各类优抚对象生活补助政策得到全面落实，维护了优抚对象的合法权益。立项依据：《关于调整部分优抚对象等人员抚恤和生活补助标准的通知》（新退役军人发[2023]36号）</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预算安排规模：254.05万元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分配情况：1.退出现役的一致十级残疾军人（包括参战伤残民兵、民工）；2.烈士遗属、因公牺牲军人遗属、病故军人遗属、老烈士子女；3、在乡老复员军人；4、带病回乡退伍军人；5、享受生活补助待遇的参战和涉核退役军人。6、60周岁以上农村籍退役士兵老年生活补助，优抚对象补助资金计划对以上六类人员（总240人），按标准、按要求每月及时足额发放抚恤补助金，通过发放12次来发放完成154.05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（九）项目名称：</w:t>
      </w:r>
      <w:r>
        <w:rPr>
          <w:rFonts w:hint="eastAsia" w:ascii="仿宋_GB2312" w:hAnsi="黑体" w:eastAsia="仿宋_GB2312"/>
          <w:color w:val="auto"/>
          <w:sz w:val="32"/>
          <w:szCs w:val="32"/>
        </w:rPr>
        <w:t>*001</w:t>
      </w:r>
    </w:p>
    <w:p>
      <w:pPr>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设立的政策依据：根据相关政策文件要求，本项目内容完全不予公开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预算安排规模：0.27万元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（一十）项目名称：</w:t>
      </w:r>
      <w:r>
        <w:rPr>
          <w:rFonts w:hint="eastAsia" w:ascii="仿宋_GB2312" w:hAnsi="黑体" w:eastAsia="仿宋_GB2312"/>
          <w:color w:val="auto"/>
          <w:sz w:val="32"/>
          <w:szCs w:val="32"/>
        </w:rPr>
        <w:t>*002</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设立的政策依据：根据相关政策文件要求，本项目内容完全不予公开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预算安排规模：240.00万元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资金执行时间：完全不予公开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（一十一）项目名称：*003</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设立的政策依据：</w:t>
      </w:r>
      <w:r>
        <w:rPr>
          <w:rFonts w:ascii="仿宋_GB2312" w:hAnsi="黑体" w:eastAsia="仿宋_GB2312"/>
          <w:color w:val="auto"/>
          <w:sz w:val="32"/>
          <w:szCs w:val="32"/>
        </w:rPr>
        <w:t>根据相关政策文件要求，本项目内容完全不予公开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预算安排规模：0.80万元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资金分配情况：</w:t>
      </w:r>
      <w:r>
        <w:rPr>
          <w:rFonts w:ascii="仿宋_GB2312" w:hAnsi="黑体" w:eastAsia="仿宋_GB2312"/>
          <w:color w:val="auto"/>
          <w:sz w:val="32"/>
          <w:szCs w:val="32"/>
        </w:rPr>
        <w:t>完全不予公开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资金执行时间：</w:t>
      </w:r>
      <w:r>
        <w:rPr>
          <w:rFonts w:ascii="仿宋_GB2312" w:hAnsi="黑体" w:eastAsia="仿宋_GB2312"/>
          <w:color w:val="auto"/>
          <w:sz w:val="32"/>
          <w:szCs w:val="32"/>
        </w:rPr>
        <w:t>完全不予公开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（一十二）项目名称：*004</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设立的政策依据：</w:t>
      </w:r>
      <w:r>
        <w:rPr>
          <w:rFonts w:ascii="仿宋_GB2312" w:hAnsi="黑体" w:eastAsia="仿宋_GB2312"/>
          <w:color w:val="auto"/>
          <w:sz w:val="32"/>
          <w:szCs w:val="32"/>
        </w:rPr>
        <w:t>根据相关政策文件要求，本项目内容完全不予公开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预算安排规模：10.00万元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资金分配情况：</w:t>
      </w:r>
      <w:r>
        <w:rPr>
          <w:rFonts w:ascii="仿宋_GB2312" w:hAnsi="黑体" w:eastAsia="仿宋_GB2312"/>
          <w:color w:val="auto"/>
          <w:sz w:val="32"/>
          <w:szCs w:val="32"/>
        </w:rPr>
        <w:t>完全不予公开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资金执行时间：</w:t>
      </w:r>
      <w:r>
        <w:rPr>
          <w:rFonts w:ascii="仿宋_GB2312" w:hAnsi="黑体" w:eastAsia="仿宋_GB2312"/>
          <w:color w:val="auto"/>
          <w:sz w:val="32"/>
          <w:szCs w:val="32"/>
        </w:rPr>
        <w:t>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w:t>
      </w:r>
      <w:r>
        <w:rPr>
          <w:rFonts w:hint="eastAsia" w:ascii="仿宋_GB2312" w:hAnsi="黑体" w:eastAsia="仿宋_GB2312"/>
          <w:color w:val="auto"/>
          <w:sz w:val="32"/>
          <w:szCs w:val="32"/>
        </w:rPr>
        <w:t>三</w:t>
      </w:r>
      <w:r>
        <w:rPr>
          <w:rFonts w:ascii="仿宋_GB2312" w:hAnsi="黑体" w:eastAsia="仿宋_GB2312"/>
          <w:color w:val="auto"/>
          <w:sz w:val="32"/>
          <w:szCs w:val="32"/>
        </w:rPr>
        <w:t>）项目名称：</w:t>
      </w:r>
      <w:r>
        <w:rPr>
          <w:rFonts w:hint="eastAsia" w:ascii="仿宋_GB2312" w:hAnsi="黑体" w:eastAsia="仿宋_GB2312"/>
          <w:color w:val="auto"/>
          <w:sz w:val="32"/>
          <w:szCs w:val="32"/>
        </w:rPr>
        <w:t>*005</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设立的政策依据：根据相关政策文件要求，本项目内容完全不予公开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w:t>
      </w:r>
      <w:r>
        <w:rPr>
          <w:rFonts w:hint="eastAsia" w:ascii="仿宋_GB2312" w:hAnsi="黑体" w:eastAsia="仿宋_GB2312"/>
          <w:color w:val="auto"/>
          <w:sz w:val="32"/>
          <w:szCs w:val="32"/>
        </w:rPr>
        <w:t>四</w:t>
      </w:r>
      <w:r>
        <w:rPr>
          <w:rFonts w:ascii="仿宋_GB2312" w:hAnsi="黑体" w:eastAsia="仿宋_GB2312"/>
          <w:color w:val="auto"/>
          <w:sz w:val="32"/>
          <w:szCs w:val="32"/>
        </w:rPr>
        <w:t>）项目名称：</w:t>
      </w:r>
      <w:r>
        <w:rPr>
          <w:rFonts w:hint="eastAsia" w:ascii="仿宋_GB2312" w:hAnsi="黑体" w:eastAsia="仿宋_GB2312"/>
          <w:color w:val="auto"/>
          <w:sz w:val="32"/>
          <w:szCs w:val="32"/>
        </w:rPr>
        <w:t>*006</w:t>
      </w:r>
    </w:p>
    <w:p>
      <w:pPr>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设立的政策依据：根据相关政策文件要求，本项目内容完全不予公开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预算安排规模：0.57万元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资金执行时间：完全不予公开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（一十</w:t>
      </w:r>
      <w:r>
        <w:rPr>
          <w:rFonts w:hint="eastAsia" w:ascii="仿宋_GB2312" w:hAnsi="黑体" w:eastAsia="仿宋_GB2312"/>
          <w:color w:val="auto"/>
          <w:sz w:val="32"/>
          <w:szCs w:val="32"/>
        </w:rPr>
        <w:t>五</w:t>
      </w:r>
      <w:r>
        <w:rPr>
          <w:rFonts w:ascii="仿宋_GB2312" w:hAnsi="黑体" w:eastAsia="仿宋_GB2312"/>
          <w:color w:val="auto"/>
          <w:sz w:val="32"/>
          <w:szCs w:val="32"/>
        </w:rPr>
        <w:t>）项目名称：2024年双拥工作及节日部队慰问工作经费</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坚持以习近平新时代中国特色社会主义思想为指导，深入贯彻习近平总书记关于双拥工作重要论述，大力弘扬拥军优属，拥政爱民光荣传统。巩固发展军政军民团结，促进实现新疆工作总目标和驻托部队全面建设。立项依据：《关于纪念延安双拥运动80周年暨做好新年春节期间拥军优属拥政爱民工作的通知》（吐市拥办电[2022]2号）</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预算安排规模：30.00万元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项目内容：1.春节、八一等节日为5个驻托部队官兵提供生活用品、食品、饮料等物资，满足他们的生活需求，各级领导与部队官兵谈心交流，了解他们的思想动态和需求，解答他们的疑虑，增进彼此的理解和信任。2.组织文艺演出等活动丰富部队官兵的节日文化生活。传递党和人民的关爱。3、表彰和奖励在国防建设、军事训练等方面取得优异成绩的现役军人家属，激发广大官兵的荣誉感和使命感。4、关心边海防官兵家庭生活，为官兵家庭提供必要的生活帮助和慰问，解除他们的后顾之忧，边海防战士慰问。5、慰问困难退役军人，了解退役军人生活生产情况。测算依据：1、根据往年帮扶情况，为10名生活困难退役军人进行帮扶援助，因此今年预留支出5.0</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万元；2、元旦春节、八一慰问等节日为我县5个驻托部队提供所需硬件设施以及慰问物品，预留16</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万。3、其他对个人和家庭的补助支出，包括立功受奖现役军人家属以及边海防战士慰问，预留7</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万。4、印刷宣传费预留1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万。5、救济费1</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（一十六）项目名称：吐市财社[2023]56号2024年中央财政优抚对象医疗保障经费（直达资金）</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设立的政策依据：党中央、国务院对因战、因公、因病残疾军人等其他优抚对象的生活十分关心，为保障优抚对象医疗待遇，切实解决优抚对象医疗困难问题，要求各级人民政府把解决他们的生活、医疗、住房等方面的困难为一项政治任务抓好落实，结合本县具体情况，落实中央精神，切实做好优抚对象医疗保障经费拨付工作。立项依据：《关于对全地区重点优抚对象门诊医疗补助进行一站式结算服务的通知》（吐地民[2014]67号）；关于印发《吐鲁番地区优抚对象医疗保障实施办法》的通知（吐地行[2010]6号）</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预算安排规模：7.41万元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项目承担单位：托克逊县退役军人事务局</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分配情况：1.依据相关文件要求完成发放医疗补助40人，2.补助对象包含：退出现役的一致十级残疾军人（包括参战伤残民兵、民工）、烈士遗属、因公牺牲军人遗属、病故军人遗属、在乡老复员军人、带病回乡退伍军人、享受生活补助待遇的参战和涉核退役军人。共计发放7.41万元。</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资金执行时间：2024年1月1日-2024年12月31日</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八、关于托克逊县退役军人事务局单位2024年政府性基金预算拨款情况说明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托克逊县退役军人事务局2024年没有使用政府性基金预算拨款安排的支出，政府性基金预算支出情况表为空表。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九、关于托克逊县退役军人事务局单位2024年国有资本经营预算拨款情况说明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托克逊县退役军人事务局2024年没有使用国有资本经营预算拨款安排的支出，国有资本经营预算支出情况表为空表。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十、关于托克逊县退役军人事务局单位2024年财政拨款“三公”经费预算情况说明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托克逊县退役军人事务局单位2024年财政拨款“三公”经费数为0.00万元，其中：因公出国（境）费0.00万元，公务用车购置费0.00万元，公务用车运行费0.00万元，公务接待费0.00万元。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十一、关于托克逊县退役军人事务局单位2024年上年结转结余预算情况说明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托克逊县退役军人事务局单位2024年上年结转结余92.00万元，包括：财政拨款92.00万元，非财政拨款0.00万元，其中：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1.2022年中央财政优抚对象补助资金22.87万元，主要用于：优抚对象生活补助。</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2.自治区优抚对象补助经费58.82万元，主要用于：优抚对象生活补助及死亡一次性抚恤金。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3.中央财政退役安置补助经费0.14万元，主要用于：退役士兵职业技能培训费补助。</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4.吐市财社[2023]42号中央财政优抚对象医疗保障经费0.57万元，主要用于：优抚对象医疗补助“一站式”服务资金。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5.吐市财社[2023]55号中央财政退役安置补助经费9.60万元，主要用于：退役士兵职业技能培训费补助。</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托克逊县退役军人事务局单位2024年的机关运行经费财政拨款预算9.90万元，比上年预算减少3.31万元，下降25.06%。主要原因是临聘人员减少，因此机关运行经费财政拨款预算较上年减少。</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2024年，托克逊县退役军人事务局单位政府采购预算5.2</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万元，其中：政府采购货物预算5.2</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万元，政府采购工程预算0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2024年，托克逊县退役军人事务局单位面向中小企业预留政府采购项目预算金额7</w:t>
      </w:r>
      <w:r>
        <w:rPr>
          <w:rFonts w:hint="eastAsia" w:ascii="仿宋_GB2312" w:hAnsi="仿宋_GB2312" w:eastAsia="仿宋_GB2312"/>
          <w:color w:val="auto"/>
          <w:sz w:val="32"/>
          <w:lang w:val="en-US" w:eastAsia="zh-CN"/>
        </w:rPr>
        <w:t>.00</w:t>
      </w:r>
      <w:r>
        <w:rPr>
          <w:rFonts w:hint="eastAsia" w:ascii="仿宋_GB2312" w:hAnsi="仿宋_GB2312" w:eastAsia="仿宋_GB2312"/>
          <w:color w:val="auto"/>
          <w:sz w:val="32"/>
        </w:rPr>
        <w:t>万元，小微企业预留政府采购项目预算金额7</w:t>
      </w:r>
      <w:r>
        <w:rPr>
          <w:rFonts w:hint="eastAsia" w:ascii="仿宋_GB2312" w:hAnsi="仿宋_GB2312" w:eastAsia="仿宋_GB2312"/>
          <w:color w:val="auto"/>
          <w:sz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截至2023年底，托克逊县退役军人事务局单位及下属各预算单位占用使用国有资产总体情况为：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1.房屋0平方米，价值0万元。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2.车辆0辆，价值0万元；其中：一般公务用车0辆，价值0万元；执法执勤用车0辆，价值0万元；其他车辆0辆，价值0万元。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1272.73</w:t>
      </w:r>
      <w:r>
        <w:rPr>
          <w:rFonts w:hint="eastAsia" w:ascii="仿宋_GB2312" w:hAnsi="宋体" w:eastAsia="仿宋_GB2312" w:cs="宋体"/>
          <w:color w:val="auto"/>
          <w:kern w:val="0"/>
          <w:sz w:val="32"/>
          <w:szCs w:val="32"/>
        </w:rPr>
        <w:t>万元；当年财政拨款项目16个，涉及预算金额</w:t>
      </w:r>
      <w:r>
        <w:rPr>
          <w:rFonts w:ascii="仿宋_GB2312" w:hAnsi="宋体" w:eastAsia="仿宋_GB2312" w:cs="宋体"/>
          <w:color w:val="auto"/>
          <w:kern w:val="0"/>
          <w:sz w:val="32"/>
          <w:szCs w:val="32"/>
        </w:rPr>
        <w:t>975.22</w:t>
      </w:r>
      <w:r>
        <w:rPr>
          <w:rFonts w:hint="eastAsia" w:ascii="仿宋_GB2312" w:hAnsi="宋体" w:eastAsia="仿宋_GB2312" w:cs="宋体"/>
          <w:color w:val="auto"/>
          <w:kern w:val="0"/>
          <w:sz w:val="32"/>
          <w:szCs w:val="32"/>
        </w:rPr>
        <w:t>万元；当年非财政拨款项目</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个，涉及预算金额</w:t>
      </w:r>
      <w:r>
        <w:rPr>
          <w:rFonts w:hint="eastAsia" w:ascii="仿宋_GB2312" w:hAnsi="宋体" w:eastAsia="仿宋_GB2312" w:cs="宋体"/>
          <w:color w:val="auto"/>
          <w:kern w:val="0"/>
          <w:sz w:val="32"/>
          <w:szCs w:val="32"/>
          <w:lang w:val="en-US" w:eastAsia="zh-CN"/>
        </w:rPr>
        <w:t>20</w:t>
      </w:r>
      <w:r>
        <w:rPr>
          <w:rFonts w:hint="eastAsia" w:ascii="仿宋_GB2312" w:hAnsi="宋体" w:eastAsia="仿宋_GB2312" w:cs="宋体"/>
          <w:color w:val="auto"/>
          <w:kern w:val="0"/>
          <w:sz w:val="32"/>
          <w:szCs w:val="32"/>
        </w:rPr>
        <w:t>.00万元。具体情况见下表：</w:t>
      </w:r>
    </w:p>
    <w:p>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049" w:type="dxa"/>
        <w:jc w:val="center"/>
        <w:tblLayout w:type="autofit"/>
        <w:tblCellMar>
          <w:top w:w="0" w:type="dxa"/>
          <w:left w:w="108" w:type="dxa"/>
          <w:bottom w:w="0" w:type="dxa"/>
          <w:right w:w="108" w:type="dxa"/>
        </w:tblCellMar>
      </w:tblPr>
      <w:tblGrid>
        <w:gridCol w:w="1131"/>
        <w:gridCol w:w="1438"/>
        <w:gridCol w:w="2642"/>
        <w:gridCol w:w="1385"/>
        <w:gridCol w:w="2137"/>
        <w:gridCol w:w="1316"/>
      </w:tblGrid>
      <w:tr>
        <w:tblPrEx>
          <w:tblCellMar>
            <w:top w:w="0" w:type="dxa"/>
            <w:left w:w="108" w:type="dxa"/>
            <w:bottom w:w="0" w:type="dxa"/>
            <w:right w:w="108" w:type="dxa"/>
          </w:tblCellMar>
        </w:tblPrEx>
        <w:trPr>
          <w:trHeight w:val="888" w:hRule="atLeast"/>
          <w:jc w:val="center"/>
        </w:trPr>
        <w:tc>
          <w:tcPr>
            <w:tcW w:w="10049" w:type="dxa"/>
            <w:gridSpan w:val="6"/>
            <w:tcBorders>
              <w:top w:val="nil"/>
              <w:left w:val="nil"/>
              <w:bottom w:val="nil"/>
              <w:right w:val="nil"/>
            </w:tcBorders>
            <w:shd w:val="clear" w:color="auto" w:fill="auto"/>
            <w:vAlign w:val="center"/>
          </w:tcPr>
          <w:p>
            <w:pPr>
              <w:widowControl/>
              <w:jc w:val="center"/>
              <w:rPr>
                <w:rFonts w:hint="eastAsia"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96" w:hRule="atLeast"/>
          <w:jc w:val="center"/>
        </w:trPr>
        <w:tc>
          <w:tcPr>
            <w:tcW w:w="10049" w:type="dxa"/>
            <w:gridSpan w:val="6"/>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61" w:hRule="atLeast"/>
          <w:jc w:val="center"/>
        </w:trPr>
        <w:tc>
          <w:tcPr>
            <w:tcW w:w="25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4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托克逊县退役军人事务局</w:t>
            </w:r>
          </w:p>
        </w:tc>
      </w:tr>
      <w:tr>
        <w:tblPrEx>
          <w:tblCellMar>
            <w:top w:w="0" w:type="dxa"/>
            <w:left w:w="108" w:type="dxa"/>
            <w:bottom w:w="0" w:type="dxa"/>
            <w:right w:w="108" w:type="dxa"/>
          </w:tblCellMar>
        </w:tblPrEx>
        <w:trPr>
          <w:trHeight w:val="661" w:hRule="atLeast"/>
          <w:jc w:val="center"/>
        </w:trPr>
        <w:tc>
          <w:tcPr>
            <w:tcW w:w="256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40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阿丽亚</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13579556379</w:t>
            </w:r>
          </w:p>
        </w:tc>
      </w:tr>
      <w:tr>
        <w:tblPrEx>
          <w:tblCellMar>
            <w:top w:w="0" w:type="dxa"/>
            <w:left w:w="108" w:type="dxa"/>
            <w:bottom w:w="0" w:type="dxa"/>
            <w:right w:w="108" w:type="dxa"/>
          </w:tblCellMar>
        </w:tblPrEx>
        <w:trPr>
          <w:trHeight w:val="2191" w:hRule="atLeast"/>
          <w:jc w:val="center"/>
        </w:trPr>
        <w:tc>
          <w:tcPr>
            <w:tcW w:w="25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4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1.巩固深化党史学习，深入贯彻落实《退役军人保障法》，强化思想政治引领，坚持总体国家安全观，警钟长鸣、警惕常在。</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2.深入开展“法律政策落实年”活动，加强干部教育培训，全面加强党的建设，全面巩固和加强民族团结和宗教工作，认真落实意识形态工作责任制，落实党风廉政建设。</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3.规范2024年军转干部、退役士兵等移交安置计划，提高服务保障水平。</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4.强化退役军人教育培训和就业创业扶持，大力推动退役军人在广大乡村就业创业。</w:t>
            </w:r>
            <w:r>
              <w:rPr>
                <w:rFonts w:hint="eastAsia" w:ascii="宋体" w:hAnsi="宋体" w:cs="宋体"/>
                <w:color w:val="auto"/>
                <w:kern w:val="0"/>
                <w:sz w:val="18"/>
                <w:szCs w:val="18"/>
              </w:rPr>
              <w:br w:type="textWrapping"/>
            </w:r>
            <w:r>
              <w:rPr>
                <w:rFonts w:hint="eastAsia" w:ascii="宋体" w:hAnsi="宋体" w:cs="宋体"/>
                <w:color w:val="auto"/>
                <w:kern w:val="0"/>
                <w:sz w:val="18"/>
                <w:szCs w:val="18"/>
              </w:rPr>
              <w:t>5.做好双拥共建工作，为官兵工作生活创造良好条件，大力弘扬“军爱民、民拥军”优良传统，加强褒扬纪念工作。</w:t>
            </w:r>
          </w:p>
        </w:tc>
      </w:tr>
      <w:tr>
        <w:tblPrEx>
          <w:tblCellMar>
            <w:top w:w="0" w:type="dxa"/>
            <w:left w:w="108" w:type="dxa"/>
            <w:bottom w:w="0" w:type="dxa"/>
            <w:right w:w="108" w:type="dxa"/>
          </w:tblCellMar>
        </w:tblPrEx>
        <w:trPr>
          <w:trHeight w:val="620" w:hRule="atLeast"/>
          <w:jc w:val="center"/>
        </w:trPr>
        <w:tc>
          <w:tcPr>
            <w:tcW w:w="256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40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4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54" w:hRule="atLeast"/>
          <w:jc w:val="center"/>
        </w:trPr>
        <w:tc>
          <w:tcPr>
            <w:tcW w:w="25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6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603.53</w:t>
            </w:r>
          </w:p>
        </w:tc>
      </w:tr>
      <w:tr>
        <w:tblPrEx>
          <w:tblCellMar>
            <w:top w:w="0" w:type="dxa"/>
            <w:left w:w="108" w:type="dxa"/>
            <w:bottom w:w="0" w:type="dxa"/>
            <w:right w:w="108" w:type="dxa"/>
          </w:tblCellMar>
        </w:tblPrEx>
        <w:trPr>
          <w:trHeight w:val="496" w:hRule="atLeast"/>
          <w:jc w:val="center"/>
        </w:trPr>
        <w:tc>
          <w:tcPr>
            <w:tcW w:w="25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642"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color w:val="auto"/>
                <w:kern w:val="0"/>
                <w:sz w:val="18"/>
                <w:szCs w:val="18"/>
              </w:rPr>
            </w:pP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649.20</w:t>
            </w:r>
          </w:p>
        </w:tc>
      </w:tr>
      <w:tr>
        <w:tblPrEx>
          <w:tblCellMar>
            <w:top w:w="0" w:type="dxa"/>
            <w:left w:w="108" w:type="dxa"/>
            <w:bottom w:w="0" w:type="dxa"/>
            <w:right w:w="108" w:type="dxa"/>
          </w:tblCellMar>
        </w:tblPrEx>
        <w:trPr>
          <w:trHeight w:val="496" w:hRule="atLeast"/>
          <w:jc w:val="center"/>
        </w:trPr>
        <w:tc>
          <w:tcPr>
            <w:tcW w:w="25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auto"/>
                <w:kern w:val="0"/>
                <w:sz w:val="20"/>
                <w:szCs w:val="20"/>
              </w:rPr>
            </w:pP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45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20.00</w:t>
            </w:r>
          </w:p>
        </w:tc>
      </w:tr>
      <w:tr>
        <w:tblPrEx>
          <w:tblCellMar>
            <w:top w:w="0" w:type="dxa"/>
            <w:left w:w="108" w:type="dxa"/>
            <w:bottom w:w="0" w:type="dxa"/>
            <w:right w:w="108" w:type="dxa"/>
          </w:tblCellMar>
        </w:tblPrEx>
        <w:trPr>
          <w:trHeight w:val="558" w:hRule="atLeast"/>
          <w:jc w:val="center"/>
        </w:trPr>
        <w:tc>
          <w:tcPr>
            <w:tcW w:w="113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4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96" w:hRule="atLeast"/>
          <w:jc w:val="center"/>
        </w:trPr>
        <w:tc>
          <w:tcPr>
            <w:tcW w:w="11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4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创建全国“双拥”模范城（县）</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=1个</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r>
      <w:tr>
        <w:tblPrEx>
          <w:tblCellMar>
            <w:top w:w="0" w:type="dxa"/>
            <w:left w:w="108" w:type="dxa"/>
            <w:bottom w:w="0" w:type="dxa"/>
            <w:right w:w="108" w:type="dxa"/>
          </w:tblCellMar>
        </w:tblPrEx>
        <w:trPr>
          <w:trHeight w:val="496" w:hRule="atLeast"/>
          <w:jc w:val="center"/>
        </w:trPr>
        <w:tc>
          <w:tcPr>
            <w:tcW w:w="113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“春节”、“八一”慰问人数</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≥500人</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6" w:hRule="atLeast"/>
          <w:jc w:val="center"/>
        </w:trPr>
        <w:tc>
          <w:tcPr>
            <w:tcW w:w="113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保障重点优抚对象人数</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≥238人</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r>
      <w:tr>
        <w:tblPrEx>
          <w:tblCellMar>
            <w:top w:w="0" w:type="dxa"/>
            <w:left w:w="108" w:type="dxa"/>
            <w:bottom w:w="0" w:type="dxa"/>
            <w:right w:w="108" w:type="dxa"/>
          </w:tblCellMar>
        </w:tblPrEx>
        <w:trPr>
          <w:trHeight w:val="496" w:hRule="atLeast"/>
          <w:jc w:val="center"/>
        </w:trPr>
        <w:tc>
          <w:tcPr>
            <w:tcW w:w="113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重大节日慰问驻县部队数量</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=5个</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96" w:hRule="atLeast"/>
          <w:jc w:val="center"/>
        </w:trPr>
        <w:tc>
          <w:tcPr>
            <w:tcW w:w="113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组织“清明”、“9.30”烈士纪念日祭扫缅怀活动</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≥2次</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496" w:hRule="atLeast"/>
          <w:jc w:val="center"/>
        </w:trPr>
        <w:tc>
          <w:tcPr>
            <w:tcW w:w="1131"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4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6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组织退役军人现场专场招聘会</w:t>
            </w:r>
          </w:p>
        </w:tc>
        <w:tc>
          <w:tcPr>
            <w:tcW w:w="13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≥2次</w:t>
            </w:r>
          </w:p>
        </w:tc>
        <w:tc>
          <w:tcPr>
            <w:tcW w:w="21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r>
    </w:tbl>
    <w:p>
      <w:pPr>
        <w:jc w:val="center"/>
        <w:rPr>
          <w:rFonts w:hint="eastAsia" w:ascii="宋体" w:hAnsi="宋体"/>
          <w:color w:val="auto"/>
          <w:sz w:val="18"/>
          <w:szCs w:val="18"/>
        </w:rPr>
      </w:pPr>
    </w:p>
    <w:p>
      <w:pPr>
        <w:widowControl/>
        <w:rPr>
          <w:rFonts w:hint="eastAsia" w:ascii="宋体" w:hAnsi="宋体"/>
          <w:color w:val="auto"/>
          <w:sz w:val="18"/>
          <w:szCs w:val="18"/>
        </w:rPr>
      </w:pPr>
    </w:p>
    <w:p>
      <w:pPr>
        <w:widowControl/>
        <w:rPr>
          <w:rFonts w:hint="eastAsia" w:ascii="宋体" w:hAnsi="宋体"/>
          <w:color w:val="auto"/>
          <w:sz w:val="18"/>
          <w:szCs w:val="18"/>
        </w:rPr>
      </w:pPr>
    </w:p>
    <w:p>
      <w:pPr>
        <w:widowControl/>
        <w:rPr>
          <w:rFonts w:hint="eastAsia" w:ascii="宋体" w:hAnsi="宋体"/>
          <w:color w:val="auto"/>
          <w:sz w:val="18"/>
          <w:szCs w:val="18"/>
        </w:rPr>
      </w:pPr>
    </w:p>
    <w:p>
      <w:pPr>
        <w:widowControl/>
        <w:jc w:val="center"/>
        <w:rPr>
          <w:rFonts w:hint="eastAsia" w:ascii="宋体" w:hAnsi="宋体"/>
          <w:color w:val="auto"/>
          <w:sz w:val="18"/>
          <w:szCs w:val="18"/>
        </w:rPr>
      </w:pPr>
      <w:r>
        <w:rPr>
          <w:rFonts w:ascii="宋体" w:hAnsi="宋体"/>
          <w:color w:val="auto"/>
          <w:sz w:val="18"/>
          <w:szCs w:val="18"/>
        </w:rPr>
        <w:br w:type="page"/>
      </w:r>
    </w:p>
    <w:tbl>
      <w:tblPr>
        <w:tblStyle w:val="4"/>
        <w:tblW w:w="9940" w:type="dxa"/>
        <w:jc w:val="center"/>
        <w:tblLayout w:type="fixed"/>
        <w:tblCellMar>
          <w:top w:w="0" w:type="dxa"/>
          <w:left w:w="108" w:type="dxa"/>
          <w:bottom w:w="0" w:type="dxa"/>
          <w:right w:w="108" w:type="dxa"/>
        </w:tblCellMar>
      </w:tblPr>
      <w:tblGrid>
        <w:gridCol w:w="915"/>
        <w:gridCol w:w="1354"/>
        <w:gridCol w:w="1984"/>
        <w:gridCol w:w="883"/>
        <w:gridCol w:w="1084"/>
        <w:gridCol w:w="883"/>
        <w:gridCol w:w="958"/>
        <w:gridCol w:w="1110"/>
        <w:gridCol w:w="769"/>
      </w:tblGrid>
      <w:tr>
        <w:tblPrEx>
          <w:tblCellMar>
            <w:top w:w="0" w:type="dxa"/>
            <w:left w:w="108" w:type="dxa"/>
            <w:bottom w:w="0" w:type="dxa"/>
            <w:right w:w="108" w:type="dxa"/>
          </w:tblCellMar>
        </w:tblPrEx>
        <w:trPr>
          <w:trHeight w:val="657" w:hRule="atLeast"/>
          <w:jc w:val="center"/>
        </w:trPr>
        <w:tc>
          <w:tcPr>
            <w:tcW w:w="994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32"/>
                <w:szCs w:val="32"/>
              </w:rPr>
            </w:pPr>
            <w:r>
              <w:rPr>
                <w:rFonts w:hint="eastAsia" w:ascii="宋体" w:hAnsi="宋体" w:cs="宋体"/>
                <w:b/>
                <w:bCs/>
                <w:color w:val="auto"/>
                <w:kern w:val="0"/>
                <w:sz w:val="32"/>
                <w:szCs w:val="32"/>
                <w:lang w:bidi="ar"/>
              </w:rPr>
              <w:t>项目支出绩效目标表</w:t>
            </w:r>
          </w:p>
        </w:tc>
      </w:tr>
      <w:tr>
        <w:tblPrEx>
          <w:tblCellMar>
            <w:top w:w="0" w:type="dxa"/>
            <w:left w:w="108" w:type="dxa"/>
            <w:bottom w:w="0" w:type="dxa"/>
            <w:right w:w="108" w:type="dxa"/>
          </w:tblCellMar>
        </w:tblPrEx>
        <w:trPr>
          <w:trHeight w:val="370" w:hRule="atLeast"/>
          <w:jc w:val="center"/>
        </w:trPr>
        <w:tc>
          <w:tcPr>
            <w:tcW w:w="994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(2024年)</w:t>
            </w:r>
          </w:p>
        </w:tc>
      </w:tr>
      <w:tr>
        <w:tblPrEx>
          <w:tblCellMar>
            <w:top w:w="0" w:type="dxa"/>
            <w:left w:w="108" w:type="dxa"/>
            <w:bottom w:w="0" w:type="dxa"/>
            <w:right w:w="108" w:type="dxa"/>
          </w:tblCellMar>
        </w:tblPrEx>
        <w:trPr>
          <w:trHeight w:val="543" w:hRule="atLeast"/>
          <w:jc w:val="center"/>
        </w:trPr>
        <w:tc>
          <w:tcPr>
            <w:tcW w:w="2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76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托克逊县退役军人事务局</w:t>
            </w:r>
          </w:p>
        </w:tc>
      </w:tr>
      <w:tr>
        <w:tblPrEx>
          <w:tblCellMar>
            <w:top w:w="0" w:type="dxa"/>
            <w:left w:w="108" w:type="dxa"/>
            <w:bottom w:w="0" w:type="dxa"/>
            <w:right w:w="108" w:type="dxa"/>
          </w:tblCellMar>
        </w:tblPrEx>
        <w:trPr>
          <w:trHeight w:val="669" w:hRule="atLeast"/>
          <w:jc w:val="center"/>
        </w:trPr>
        <w:tc>
          <w:tcPr>
            <w:tcW w:w="2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39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2024年优抚对象抚恤和生活补助（县级配套）</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古再力努尔·艾合买提</w:t>
            </w:r>
          </w:p>
        </w:tc>
      </w:tr>
      <w:tr>
        <w:tblPrEx>
          <w:tblCellMar>
            <w:top w:w="0" w:type="dxa"/>
            <w:left w:w="108" w:type="dxa"/>
            <w:bottom w:w="0" w:type="dxa"/>
            <w:right w:w="108" w:type="dxa"/>
          </w:tblCellMar>
        </w:tblPrEx>
        <w:trPr>
          <w:trHeight w:val="871" w:hRule="atLeast"/>
          <w:jc w:val="center"/>
        </w:trPr>
        <w:tc>
          <w:tcPr>
            <w:tcW w:w="2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50.00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50.00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r>
      <w:tr>
        <w:tblPrEx>
          <w:tblCellMar>
            <w:top w:w="0" w:type="dxa"/>
            <w:left w:w="108" w:type="dxa"/>
            <w:bottom w:w="0" w:type="dxa"/>
            <w:right w:w="108" w:type="dxa"/>
          </w:tblCellMar>
        </w:tblPrEx>
        <w:trPr>
          <w:trHeight w:val="1240" w:hRule="atLeast"/>
          <w:jc w:val="center"/>
        </w:trPr>
        <w:tc>
          <w:tcPr>
            <w:tcW w:w="22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7671"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1.春节”“清明节”和八一建军节“等节日对240名优抚对象按标准、按要求进行慰问，充分发挥了拥军优属的光荣传统。</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2.报销15名“两参人员”体检等相关费用，加强对优抚对象的身心关爱，落实优抚政策和待遇。</w:t>
            </w:r>
          </w:p>
        </w:tc>
      </w:tr>
      <w:tr>
        <w:tblPrEx>
          <w:tblCellMar>
            <w:top w:w="0" w:type="dxa"/>
            <w:left w:w="108" w:type="dxa"/>
            <w:bottom w:w="0" w:type="dxa"/>
            <w:right w:w="108" w:type="dxa"/>
          </w:tblCellMar>
        </w:tblPrEx>
        <w:trPr>
          <w:trHeight w:val="669"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669" w:hRule="atLeast"/>
          <w:jc w:val="center"/>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3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优抚对象节日慰问人数</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≥240人</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240人</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69"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“两参”人员体检人数</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≥15人</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8人</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69"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5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优抚资金补助标准按规定执行率</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69" w:hRule="atLeast"/>
          <w:jc w:val="center"/>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优抚资金补助发放及时率</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历史标准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69" w:hRule="atLeast"/>
          <w:jc w:val="center"/>
        </w:trPr>
        <w:tc>
          <w:tcPr>
            <w:tcW w:w="915" w:type="dxa"/>
            <w:vMerge w:val="restart"/>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35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1984" w:type="dxa"/>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优抚对象节日慰问支出</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≤48万元</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34.7万元</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69" w:hRule="atLeast"/>
          <w:jc w:val="center"/>
        </w:trPr>
        <w:tc>
          <w:tcPr>
            <w:tcW w:w="91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cs="宋体"/>
                <w:color w:val="auto"/>
                <w:sz w:val="18"/>
                <w:szCs w:val="18"/>
              </w:rPr>
            </w:pPr>
          </w:p>
        </w:tc>
        <w:tc>
          <w:tcPr>
            <w:tcW w:w="135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984" w:type="dxa"/>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“两参”人员体检费支出</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≤2万元</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69" w:hRule="atLeast"/>
          <w:jc w:val="center"/>
        </w:trPr>
        <w:tc>
          <w:tcPr>
            <w:tcW w:w="915" w:type="dxa"/>
            <w:vMerge w:val="restart"/>
            <w:tcBorders>
              <w:top w:val="nil"/>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35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1984"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解决优抚对象生活困难问题</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有效解决</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基本达成目标</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69" w:hRule="atLeast"/>
          <w:jc w:val="center"/>
        </w:trPr>
        <w:tc>
          <w:tcPr>
            <w:tcW w:w="915"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35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984"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优抚政策、待遇落实率</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700"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984"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享受优抚补助人员满意度</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rPr>
          <w:color w:val="auto"/>
        </w:rPr>
      </w:pPr>
      <w:r>
        <w:rPr>
          <w:color w:val="auto"/>
        </w:rPr>
        <w:br w:type="page"/>
      </w:r>
    </w:p>
    <w:tbl>
      <w:tblPr>
        <w:tblStyle w:val="4"/>
        <w:tblW w:w="10080" w:type="dxa"/>
        <w:jc w:val="center"/>
        <w:tblLayout w:type="autofit"/>
        <w:tblCellMar>
          <w:top w:w="0" w:type="dxa"/>
          <w:left w:w="108" w:type="dxa"/>
          <w:bottom w:w="0" w:type="dxa"/>
          <w:right w:w="108" w:type="dxa"/>
        </w:tblCellMar>
      </w:tblPr>
      <w:tblGrid>
        <w:gridCol w:w="928"/>
        <w:gridCol w:w="1374"/>
        <w:gridCol w:w="2121"/>
        <w:gridCol w:w="1050"/>
        <w:gridCol w:w="1050"/>
        <w:gridCol w:w="834"/>
        <w:gridCol w:w="821"/>
        <w:gridCol w:w="1128"/>
        <w:gridCol w:w="774"/>
      </w:tblGrid>
      <w:tr>
        <w:tblPrEx>
          <w:tblCellMar>
            <w:top w:w="0" w:type="dxa"/>
            <w:left w:w="108" w:type="dxa"/>
            <w:bottom w:w="0" w:type="dxa"/>
            <w:right w:w="108" w:type="dxa"/>
          </w:tblCellMar>
        </w:tblPrEx>
        <w:trPr>
          <w:trHeight w:val="563" w:hRule="atLeast"/>
          <w:jc w:val="center"/>
        </w:trPr>
        <w:tc>
          <w:tcPr>
            <w:tcW w:w="1008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32"/>
                <w:szCs w:val="32"/>
              </w:rPr>
            </w:pPr>
            <w:r>
              <w:rPr>
                <w:rFonts w:hint="eastAsia" w:ascii="宋体" w:hAnsi="宋体" w:cs="宋体"/>
                <w:b/>
                <w:bCs/>
                <w:color w:val="auto"/>
                <w:kern w:val="0"/>
                <w:sz w:val="32"/>
                <w:szCs w:val="32"/>
                <w:lang w:bidi="ar"/>
              </w:rPr>
              <w:t>项目支出绩效目标表</w:t>
            </w:r>
          </w:p>
        </w:tc>
      </w:tr>
      <w:tr>
        <w:tblPrEx>
          <w:tblCellMar>
            <w:top w:w="0" w:type="dxa"/>
            <w:left w:w="108" w:type="dxa"/>
            <w:bottom w:w="0" w:type="dxa"/>
            <w:right w:w="108" w:type="dxa"/>
          </w:tblCellMar>
        </w:tblPrEx>
        <w:trPr>
          <w:trHeight w:val="317" w:hRule="atLeast"/>
          <w:jc w:val="center"/>
        </w:trPr>
        <w:tc>
          <w:tcPr>
            <w:tcW w:w="1008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(2024年)</w:t>
            </w:r>
          </w:p>
        </w:tc>
      </w:tr>
      <w:tr>
        <w:tblPrEx>
          <w:tblCellMar>
            <w:top w:w="0" w:type="dxa"/>
            <w:left w:w="108" w:type="dxa"/>
            <w:bottom w:w="0" w:type="dxa"/>
            <w:right w:w="108" w:type="dxa"/>
          </w:tblCellMar>
        </w:tblPrEx>
        <w:trPr>
          <w:trHeight w:val="522" w:hRule="atLeast"/>
          <w:jc w:val="center"/>
        </w:trPr>
        <w:tc>
          <w:tcPr>
            <w:tcW w:w="2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777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托克逊县退役军人事务局</w:t>
            </w:r>
          </w:p>
        </w:tc>
      </w:tr>
      <w:tr>
        <w:tblPrEx>
          <w:tblCellMar>
            <w:top w:w="0" w:type="dxa"/>
            <w:left w:w="108" w:type="dxa"/>
            <w:bottom w:w="0" w:type="dxa"/>
            <w:right w:w="108" w:type="dxa"/>
          </w:tblCellMar>
        </w:tblPrEx>
        <w:trPr>
          <w:trHeight w:val="558" w:hRule="atLeast"/>
          <w:jc w:val="center"/>
        </w:trPr>
        <w:tc>
          <w:tcPr>
            <w:tcW w:w="2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2024年义务兵家庭优待金（县级配套）</w:t>
            </w:r>
          </w:p>
        </w:tc>
        <w:tc>
          <w:tcPr>
            <w:tcW w:w="1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古再力努尔·艾合买提</w:t>
            </w:r>
          </w:p>
        </w:tc>
      </w:tr>
      <w:tr>
        <w:tblPrEx>
          <w:tblCellMar>
            <w:top w:w="0" w:type="dxa"/>
            <w:left w:w="108" w:type="dxa"/>
            <w:bottom w:w="0" w:type="dxa"/>
            <w:right w:w="108" w:type="dxa"/>
          </w:tblCellMar>
        </w:tblPrEx>
        <w:trPr>
          <w:trHeight w:val="730" w:hRule="atLeast"/>
          <w:jc w:val="center"/>
        </w:trPr>
        <w:tc>
          <w:tcPr>
            <w:tcW w:w="2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90.00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90.00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9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r>
      <w:tr>
        <w:tblPrEx>
          <w:tblCellMar>
            <w:top w:w="0" w:type="dxa"/>
            <w:left w:w="108" w:type="dxa"/>
            <w:bottom w:w="0" w:type="dxa"/>
            <w:right w:w="108" w:type="dxa"/>
          </w:tblCellMar>
        </w:tblPrEx>
        <w:trPr>
          <w:trHeight w:val="1381" w:hRule="atLeast"/>
          <w:jc w:val="center"/>
        </w:trPr>
        <w:tc>
          <w:tcPr>
            <w:tcW w:w="23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7778"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通过为160户义务兵家庭及时、足额发放义务兵家庭优待金，减轻义务兵家庭负担，确保义务兵家庭优待金政策落实，义务兵安心部队服役，表达国家对军人的尊重和关爱。2、提高广大青年参军报国的积极性，使义务兵家庭感受到国家和社会的尊重，增强军人的职业荣誉感</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3、“拥军优属、拥政爱民”维护义务兵家庭的合法权益，促进国防和军队建设，保持社会稳定。</w:t>
            </w:r>
          </w:p>
        </w:tc>
      </w:tr>
      <w:tr>
        <w:tblPrEx>
          <w:tblCellMar>
            <w:top w:w="0" w:type="dxa"/>
            <w:left w:w="108" w:type="dxa"/>
            <w:bottom w:w="0" w:type="dxa"/>
            <w:right w:w="108" w:type="dxa"/>
          </w:tblCellMar>
        </w:tblPrEx>
        <w:trPr>
          <w:trHeight w:val="558"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832" w:hRule="atLeast"/>
          <w:jc w:val="center"/>
        </w:trPr>
        <w:tc>
          <w:tcPr>
            <w:tcW w:w="9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37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义务兵家庭优待金发放户数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≥90户</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262</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2"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7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义务兵服役期间荣获荣誉称号或立功受奖补助发放覆盖率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2"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7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义务兵家庭信息核查准确率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2" w:hRule="atLeast"/>
          <w:jc w:val="center"/>
        </w:trPr>
        <w:tc>
          <w:tcPr>
            <w:tcW w:w="9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义务兵家庭优待金发放及时率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2"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37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义务兵家庭优待金发放标准</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＝10000元/人/年</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预算支出标准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＝10000元/人</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2" w:hRule="atLeast"/>
          <w:jc w:val="center"/>
        </w:trPr>
        <w:tc>
          <w:tcPr>
            <w:tcW w:w="928"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37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提高义务兵家属生活水平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显著提高</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显著提高</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2" w:hRule="atLeast"/>
          <w:jc w:val="center"/>
        </w:trPr>
        <w:tc>
          <w:tcPr>
            <w:tcW w:w="92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37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激发征兵积极性</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效果显著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效果显著</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567" w:hRule="atLeast"/>
          <w:jc w:val="center"/>
        </w:trPr>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21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义务兵家属满意度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rPr>
          <w:color w:val="auto"/>
        </w:rPr>
      </w:pPr>
      <w:r>
        <w:rPr>
          <w:color w:val="auto"/>
        </w:rPr>
        <w:br w:type="page"/>
      </w:r>
    </w:p>
    <w:tbl>
      <w:tblPr>
        <w:tblStyle w:val="4"/>
        <w:tblW w:w="10600" w:type="dxa"/>
        <w:jc w:val="center"/>
        <w:tblLayout w:type="autofit"/>
        <w:tblCellMar>
          <w:top w:w="0" w:type="dxa"/>
          <w:left w:w="108" w:type="dxa"/>
          <w:bottom w:w="0" w:type="dxa"/>
          <w:right w:w="108" w:type="dxa"/>
        </w:tblCellMar>
      </w:tblPr>
      <w:tblGrid>
        <w:gridCol w:w="865"/>
        <w:gridCol w:w="1278"/>
        <w:gridCol w:w="2544"/>
        <w:gridCol w:w="1215"/>
        <w:gridCol w:w="1094"/>
        <w:gridCol w:w="954"/>
        <w:gridCol w:w="877"/>
        <w:gridCol w:w="1136"/>
        <w:gridCol w:w="637"/>
      </w:tblGrid>
      <w:tr>
        <w:tblPrEx>
          <w:tblCellMar>
            <w:top w:w="0" w:type="dxa"/>
            <w:left w:w="108" w:type="dxa"/>
            <w:bottom w:w="0" w:type="dxa"/>
            <w:right w:w="108" w:type="dxa"/>
          </w:tblCellMar>
        </w:tblPrEx>
        <w:trPr>
          <w:trHeight w:val="90" w:hRule="atLeast"/>
          <w:jc w:val="center"/>
        </w:trPr>
        <w:tc>
          <w:tcPr>
            <w:tcW w:w="1060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32"/>
                <w:szCs w:val="32"/>
              </w:rPr>
            </w:pPr>
            <w:r>
              <w:rPr>
                <w:rFonts w:hint="eastAsia" w:ascii="宋体" w:hAnsi="宋体" w:cs="宋体"/>
                <w:b/>
                <w:bCs/>
                <w:color w:val="auto"/>
                <w:kern w:val="0"/>
                <w:sz w:val="32"/>
                <w:szCs w:val="32"/>
                <w:lang w:bidi="ar"/>
              </w:rPr>
              <w:t>项目支出绩效目标表</w:t>
            </w:r>
          </w:p>
        </w:tc>
      </w:tr>
      <w:tr>
        <w:tblPrEx>
          <w:tblCellMar>
            <w:top w:w="0" w:type="dxa"/>
            <w:left w:w="108" w:type="dxa"/>
            <w:bottom w:w="0" w:type="dxa"/>
            <w:right w:w="108" w:type="dxa"/>
          </w:tblCellMar>
        </w:tblPrEx>
        <w:trPr>
          <w:trHeight w:val="90" w:hRule="atLeast"/>
          <w:jc w:val="center"/>
        </w:trPr>
        <w:tc>
          <w:tcPr>
            <w:tcW w:w="1060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(2024年)</w:t>
            </w:r>
          </w:p>
        </w:tc>
      </w:tr>
      <w:tr>
        <w:tblPrEx>
          <w:tblCellMar>
            <w:top w:w="0" w:type="dxa"/>
            <w:left w:w="108" w:type="dxa"/>
            <w:bottom w:w="0" w:type="dxa"/>
            <w:right w:w="108" w:type="dxa"/>
          </w:tblCellMar>
        </w:tblPrEx>
        <w:trPr>
          <w:trHeight w:val="90" w:hRule="atLeast"/>
          <w:jc w:val="center"/>
        </w:trPr>
        <w:tc>
          <w:tcPr>
            <w:tcW w:w="21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845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托克逊县退役军人事务局</w:t>
            </w:r>
          </w:p>
        </w:tc>
      </w:tr>
      <w:tr>
        <w:tblPrEx>
          <w:tblCellMar>
            <w:top w:w="0" w:type="dxa"/>
            <w:left w:w="108" w:type="dxa"/>
            <w:bottom w:w="0" w:type="dxa"/>
            <w:right w:w="108" w:type="dxa"/>
          </w:tblCellMar>
        </w:tblPrEx>
        <w:trPr>
          <w:trHeight w:val="90" w:hRule="atLeast"/>
          <w:jc w:val="center"/>
        </w:trPr>
        <w:tc>
          <w:tcPr>
            <w:tcW w:w="21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8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2024年双拥工作及节日部队慰问</w:t>
            </w:r>
          </w:p>
        </w:tc>
        <w:tc>
          <w:tcPr>
            <w:tcW w:w="18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木卡代斯·买尼克</w:t>
            </w:r>
          </w:p>
        </w:tc>
      </w:tr>
      <w:tr>
        <w:tblPrEx>
          <w:tblCellMar>
            <w:top w:w="0" w:type="dxa"/>
            <w:left w:w="108" w:type="dxa"/>
            <w:bottom w:w="0" w:type="dxa"/>
            <w:right w:w="108" w:type="dxa"/>
          </w:tblCellMar>
        </w:tblPrEx>
        <w:trPr>
          <w:trHeight w:val="90" w:hRule="atLeast"/>
          <w:jc w:val="center"/>
        </w:trPr>
        <w:tc>
          <w:tcPr>
            <w:tcW w:w="21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30.00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30.00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7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r>
      <w:tr>
        <w:tblPrEx>
          <w:tblCellMar>
            <w:top w:w="0" w:type="dxa"/>
            <w:left w:w="108" w:type="dxa"/>
            <w:bottom w:w="0" w:type="dxa"/>
            <w:right w:w="108" w:type="dxa"/>
          </w:tblCellMar>
        </w:tblPrEx>
        <w:trPr>
          <w:trHeight w:val="90" w:hRule="atLeast"/>
          <w:jc w:val="center"/>
        </w:trPr>
        <w:tc>
          <w:tcPr>
            <w:tcW w:w="21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8457"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1.完成5个驻县部队慰问工作，贯彻落实党中央、自治区、市县新时代治军方略，为驻县部队送去党中央的关心关爱，大力营造我县拥军优属氛围。</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2.在春节、八一建军节等重大节日开展优抚对象和退役士兵慰问工作，开展2次以上的双拥活动宣传工作，印刷双拥活动宣传品3000份，为现役军人家属、退役士兵等300人送去党的温暖，使服兵役成为一种尊荣的职业。</w:t>
            </w:r>
          </w:p>
        </w:tc>
      </w:tr>
      <w:tr>
        <w:tblPrEx>
          <w:tblCellMar>
            <w:top w:w="0" w:type="dxa"/>
            <w:left w:w="108" w:type="dxa"/>
            <w:bottom w:w="0" w:type="dxa"/>
            <w:right w:w="108" w:type="dxa"/>
          </w:tblCellMar>
        </w:tblPrEx>
        <w:trPr>
          <w:trHeight w:val="90" w:hRule="atLeast"/>
          <w:jc w:val="center"/>
        </w:trPr>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90" w:hRule="atLeast"/>
          <w:jc w:val="center"/>
        </w:trPr>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2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慰问驻县部队数量</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&gt;=5个</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慰问、帮扶退役军人及其他优抚对象人数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&gt;=300人</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开展双拥活动次数</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&gt;=2次</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印刷宣传品数量</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&gt;=3000份</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困难帮扶对象信息核实率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nil"/>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印刷品质量合格率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活动按时完成率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&gt;=95%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90" w:hRule="atLeast"/>
          <w:jc w:val="center"/>
        </w:trPr>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2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驻县部队慰问支出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&lt;=16万元</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现役军人立功受奖奖励金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&lt;=7万元</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慰问金（品）发放金额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&lt;=6万元</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90" w:hRule="atLeast"/>
          <w:jc w:val="center"/>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印刷宣传费支出</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&lt;=1万元</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90" w:hRule="atLeast"/>
          <w:jc w:val="center"/>
        </w:trPr>
        <w:tc>
          <w:tcPr>
            <w:tcW w:w="865" w:type="dxa"/>
            <w:vMerge w:val="restart"/>
            <w:tcBorders>
              <w:top w:val="nil"/>
              <w:left w:val="single" w:color="000000" w:sz="4" w:space="0"/>
              <w:bottom w:val="nil"/>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营造拥军优属的社会氛围</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显著提高</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90" w:hRule="atLeast"/>
          <w:jc w:val="center"/>
        </w:trPr>
        <w:tc>
          <w:tcPr>
            <w:tcW w:w="865" w:type="dxa"/>
            <w:vMerge w:val="continue"/>
            <w:tcBorders>
              <w:top w:val="nil"/>
              <w:left w:val="single" w:color="000000" w:sz="4" w:space="0"/>
              <w:bottom w:val="nil"/>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1278" w:type="dxa"/>
            <w:vMerge w:val="continue"/>
            <w:tcBorders>
              <w:top w:val="single" w:color="000000" w:sz="4" w:space="0"/>
              <w:left w:val="single" w:color="000000" w:sz="4" w:space="0"/>
              <w:bottom w:val="nil"/>
              <w:right w:val="single" w:color="000000" w:sz="4" w:space="0"/>
            </w:tcBorders>
            <w:shd w:val="clear" w:color="auto" w:fill="auto"/>
            <w:vAlign w:val="center"/>
          </w:tcPr>
          <w:p>
            <w:pPr>
              <w:widowControl/>
              <w:spacing w:line="200" w:lineRule="atLeast"/>
              <w:jc w:val="center"/>
              <w:rPr>
                <w:rFonts w:hint="eastAsia" w:ascii="宋体" w:hAnsi="宋体" w:cs="宋体"/>
                <w:color w:val="auto"/>
                <w:sz w:val="18"/>
                <w:szCs w:val="18"/>
              </w:rPr>
            </w:pP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建立良好的军政军民关系</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效果明显</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90" w:hRule="atLeast"/>
          <w:jc w:val="center"/>
        </w:trPr>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254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退役士兵、现役军人对慰问工作满意度</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&gt;=95%</w:t>
            </w: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_</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atLeas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rPr>
          <w:color w:val="auto"/>
        </w:rPr>
      </w:pPr>
      <w:r>
        <w:rPr>
          <w:color w:val="auto"/>
        </w:rPr>
        <w:br w:type="page"/>
      </w:r>
    </w:p>
    <w:tbl>
      <w:tblPr>
        <w:tblStyle w:val="4"/>
        <w:tblW w:w="10460" w:type="dxa"/>
        <w:jc w:val="center"/>
        <w:tblLayout w:type="autofit"/>
        <w:tblCellMar>
          <w:top w:w="0" w:type="dxa"/>
          <w:left w:w="108" w:type="dxa"/>
          <w:bottom w:w="0" w:type="dxa"/>
          <w:right w:w="108" w:type="dxa"/>
        </w:tblCellMar>
      </w:tblPr>
      <w:tblGrid>
        <w:gridCol w:w="963"/>
        <w:gridCol w:w="1426"/>
        <w:gridCol w:w="2374"/>
        <w:gridCol w:w="991"/>
        <w:gridCol w:w="1014"/>
        <w:gridCol w:w="867"/>
        <w:gridCol w:w="852"/>
        <w:gridCol w:w="1107"/>
        <w:gridCol w:w="866"/>
      </w:tblGrid>
      <w:tr>
        <w:tblPrEx>
          <w:tblCellMar>
            <w:top w:w="0" w:type="dxa"/>
            <w:left w:w="108" w:type="dxa"/>
            <w:bottom w:w="0" w:type="dxa"/>
            <w:right w:w="108" w:type="dxa"/>
          </w:tblCellMar>
        </w:tblPrEx>
        <w:trPr>
          <w:trHeight w:val="613" w:hRule="atLeast"/>
          <w:jc w:val="center"/>
        </w:trPr>
        <w:tc>
          <w:tcPr>
            <w:tcW w:w="1046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32"/>
                <w:szCs w:val="32"/>
              </w:rPr>
            </w:pPr>
            <w:r>
              <w:rPr>
                <w:rFonts w:hint="eastAsia" w:ascii="宋体" w:hAnsi="宋体" w:cs="宋体"/>
                <w:b/>
                <w:bCs/>
                <w:color w:val="auto"/>
                <w:kern w:val="0"/>
                <w:sz w:val="32"/>
                <w:szCs w:val="32"/>
                <w:lang w:bidi="ar"/>
              </w:rPr>
              <w:t>项目支出绩效目标表</w:t>
            </w:r>
          </w:p>
        </w:tc>
      </w:tr>
      <w:tr>
        <w:tblPrEx>
          <w:tblCellMar>
            <w:top w:w="0" w:type="dxa"/>
            <w:left w:w="108" w:type="dxa"/>
            <w:bottom w:w="0" w:type="dxa"/>
            <w:right w:w="108" w:type="dxa"/>
          </w:tblCellMar>
        </w:tblPrEx>
        <w:trPr>
          <w:trHeight w:val="345" w:hRule="atLeast"/>
          <w:jc w:val="center"/>
        </w:trPr>
        <w:tc>
          <w:tcPr>
            <w:tcW w:w="1046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(2024年)</w:t>
            </w:r>
          </w:p>
        </w:tc>
      </w:tr>
      <w:tr>
        <w:tblPrEx>
          <w:tblCellMar>
            <w:top w:w="0" w:type="dxa"/>
            <w:left w:w="108" w:type="dxa"/>
            <w:bottom w:w="0" w:type="dxa"/>
            <w:right w:w="108" w:type="dxa"/>
          </w:tblCellMar>
        </w:tblPrEx>
        <w:trPr>
          <w:trHeight w:val="488" w:hRule="atLeast"/>
          <w:jc w:val="center"/>
        </w:trPr>
        <w:tc>
          <w:tcPr>
            <w:tcW w:w="2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托克逊县退役军人事务局</w:t>
            </w:r>
          </w:p>
        </w:tc>
      </w:tr>
      <w:tr>
        <w:tblPrEx>
          <w:tblCellMar>
            <w:top w:w="0" w:type="dxa"/>
            <w:left w:w="108" w:type="dxa"/>
            <w:bottom w:w="0" w:type="dxa"/>
            <w:right w:w="108" w:type="dxa"/>
          </w:tblCellMar>
        </w:tblPrEx>
        <w:trPr>
          <w:trHeight w:val="607" w:hRule="atLeast"/>
          <w:jc w:val="center"/>
        </w:trPr>
        <w:tc>
          <w:tcPr>
            <w:tcW w:w="2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3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2024年上半年下半年部分重点优抚对象地方财政补助资金</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古再力努尔·艾合买提</w:t>
            </w:r>
          </w:p>
        </w:tc>
      </w:tr>
      <w:tr>
        <w:tblPrEx>
          <w:tblCellMar>
            <w:top w:w="0" w:type="dxa"/>
            <w:left w:w="108" w:type="dxa"/>
            <w:bottom w:w="0" w:type="dxa"/>
            <w:right w:w="108" w:type="dxa"/>
          </w:tblCellMar>
        </w:tblPrEx>
        <w:trPr>
          <w:trHeight w:val="795" w:hRule="atLeast"/>
          <w:jc w:val="center"/>
        </w:trPr>
        <w:tc>
          <w:tcPr>
            <w:tcW w:w="2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26.88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26.88</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r>
      <w:tr>
        <w:tblPrEx>
          <w:tblCellMar>
            <w:top w:w="0" w:type="dxa"/>
            <w:left w:w="108" w:type="dxa"/>
            <w:bottom w:w="0" w:type="dxa"/>
            <w:right w:w="108" w:type="dxa"/>
          </w:tblCellMar>
        </w:tblPrEx>
        <w:trPr>
          <w:trHeight w:val="906" w:hRule="atLeast"/>
          <w:jc w:val="center"/>
        </w:trPr>
        <w:tc>
          <w:tcPr>
            <w:tcW w:w="2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为部分优抚对象27人发放上下半年地方财政补助资金，确保重点优抚对象的基本生活得到保障，提高他们的生活质量。</w:t>
            </w:r>
          </w:p>
        </w:tc>
      </w:tr>
      <w:tr>
        <w:tblPrEx>
          <w:tblCellMar>
            <w:top w:w="0" w:type="dxa"/>
            <w:left w:w="108" w:type="dxa"/>
            <w:bottom w:w="0" w:type="dxa"/>
            <w:right w:w="108" w:type="dxa"/>
          </w:tblCellMar>
        </w:tblPrEx>
        <w:trPr>
          <w:trHeight w:val="607"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607" w:hRule="atLeast"/>
          <w:jc w:val="center"/>
        </w:trPr>
        <w:tc>
          <w:tcPr>
            <w:tcW w:w="9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426"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部分优抚对象补助人数</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≥27人</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26人</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07"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2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部分优抚对象补助次数</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≥2次</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2次</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07"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2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优抚资金补助标准按规定执行率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07" w:hRule="atLeast"/>
          <w:jc w:val="center"/>
        </w:trPr>
        <w:tc>
          <w:tcPr>
            <w:tcW w:w="9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优抚资金补助发放及时率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历史标准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07" w:hRule="atLeast"/>
          <w:jc w:val="center"/>
        </w:trPr>
        <w:tc>
          <w:tcPr>
            <w:tcW w:w="963"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42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部分优抚对象补助支出</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≤26.88万元</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07" w:hRule="atLeast"/>
          <w:jc w:val="center"/>
        </w:trPr>
        <w:tc>
          <w:tcPr>
            <w:tcW w:w="963" w:type="dxa"/>
            <w:vMerge w:val="restart"/>
            <w:tcBorders>
              <w:top w:val="nil"/>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426"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解决优抚对象生活困难问题</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有效解决</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基本达成目标</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07" w:hRule="atLeast"/>
          <w:jc w:val="center"/>
        </w:trPr>
        <w:tc>
          <w:tcPr>
            <w:tcW w:w="963"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42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优抚政策、待遇落实率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17" w:hRule="atLeast"/>
          <w:jc w:val="center"/>
        </w:trPr>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4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23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享受优抚补助人员满意度</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0.95</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rPr>
          <w:color w:val="auto"/>
        </w:rPr>
      </w:pPr>
      <w:r>
        <w:rPr>
          <w:color w:val="auto"/>
        </w:rPr>
        <w:br w:type="page"/>
      </w:r>
    </w:p>
    <w:tbl>
      <w:tblPr>
        <w:tblStyle w:val="4"/>
        <w:tblW w:w="10740" w:type="dxa"/>
        <w:jc w:val="center"/>
        <w:tblLayout w:type="autofit"/>
        <w:tblCellMar>
          <w:top w:w="0" w:type="dxa"/>
          <w:left w:w="108" w:type="dxa"/>
          <w:bottom w:w="0" w:type="dxa"/>
          <w:right w:w="108" w:type="dxa"/>
        </w:tblCellMar>
      </w:tblPr>
      <w:tblGrid>
        <w:gridCol w:w="990"/>
        <w:gridCol w:w="1464"/>
        <w:gridCol w:w="2438"/>
        <w:gridCol w:w="1018"/>
        <w:gridCol w:w="1041"/>
        <w:gridCol w:w="889"/>
        <w:gridCol w:w="875"/>
        <w:gridCol w:w="1137"/>
        <w:gridCol w:w="888"/>
      </w:tblGrid>
      <w:tr>
        <w:tblPrEx>
          <w:tblCellMar>
            <w:top w:w="0" w:type="dxa"/>
            <w:left w:w="108" w:type="dxa"/>
            <w:bottom w:w="0" w:type="dxa"/>
            <w:right w:w="108" w:type="dxa"/>
          </w:tblCellMar>
        </w:tblPrEx>
        <w:trPr>
          <w:trHeight w:val="656" w:hRule="atLeast"/>
          <w:jc w:val="center"/>
        </w:trPr>
        <w:tc>
          <w:tcPr>
            <w:tcW w:w="1074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32"/>
                <w:szCs w:val="32"/>
              </w:rPr>
            </w:pPr>
            <w:r>
              <w:rPr>
                <w:rFonts w:hint="eastAsia" w:ascii="宋体" w:hAnsi="宋体" w:cs="宋体"/>
                <w:b/>
                <w:bCs/>
                <w:color w:val="auto"/>
                <w:kern w:val="0"/>
                <w:sz w:val="32"/>
                <w:szCs w:val="32"/>
                <w:lang w:bidi="ar"/>
              </w:rPr>
              <w:t>项目支出绩效目标表</w:t>
            </w:r>
          </w:p>
        </w:tc>
      </w:tr>
      <w:tr>
        <w:tblPrEx>
          <w:tblCellMar>
            <w:top w:w="0" w:type="dxa"/>
            <w:left w:w="108" w:type="dxa"/>
            <w:bottom w:w="0" w:type="dxa"/>
            <w:right w:w="108" w:type="dxa"/>
          </w:tblCellMar>
        </w:tblPrEx>
        <w:trPr>
          <w:trHeight w:val="369" w:hRule="atLeast"/>
          <w:jc w:val="center"/>
        </w:trPr>
        <w:tc>
          <w:tcPr>
            <w:tcW w:w="1074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(2024年)</w:t>
            </w:r>
          </w:p>
        </w:tc>
      </w:tr>
      <w:tr>
        <w:tblPrEx>
          <w:tblCellMar>
            <w:top w:w="0" w:type="dxa"/>
            <w:left w:w="108" w:type="dxa"/>
            <w:bottom w:w="0" w:type="dxa"/>
            <w:right w:w="108" w:type="dxa"/>
          </w:tblCellMar>
        </w:tblPrEx>
        <w:trPr>
          <w:trHeight w:val="523" w:hRule="atLeast"/>
          <w:jc w:val="center"/>
        </w:trPr>
        <w:tc>
          <w:tcPr>
            <w:tcW w:w="2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828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托克逊县退役军人事务局</w:t>
            </w:r>
          </w:p>
        </w:tc>
      </w:tr>
      <w:tr>
        <w:tblPrEx>
          <w:tblCellMar>
            <w:top w:w="0" w:type="dxa"/>
            <w:left w:w="108" w:type="dxa"/>
            <w:bottom w:w="0" w:type="dxa"/>
            <w:right w:w="108" w:type="dxa"/>
          </w:tblCellMar>
        </w:tblPrEx>
        <w:trPr>
          <w:trHeight w:val="650" w:hRule="atLeast"/>
          <w:jc w:val="center"/>
        </w:trPr>
        <w:tc>
          <w:tcPr>
            <w:tcW w:w="2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4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2024烈士陵园修缮工作经费</w:t>
            </w:r>
          </w:p>
        </w:tc>
        <w:tc>
          <w:tcPr>
            <w:tcW w:w="1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古再力努尔·艾合买提</w:t>
            </w:r>
          </w:p>
        </w:tc>
      </w:tr>
      <w:tr>
        <w:tblPrEx>
          <w:tblCellMar>
            <w:top w:w="0" w:type="dxa"/>
            <w:left w:w="108" w:type="dxa"/>
            <w:bottom w:w="0" w:type="dxa"/>
            <w:right w:w="108" w:type="dxa"/>
          </w:tblCellMar>
        </w:tblPrEx>
        <w:trPr>
          <w:trHeight w:val="851" w:hRule="atLeast"/>
          <w:jc w:val="center"/>
        </w:trPr>
        <w:tc>
          <w:tcPr>
            <w:tcW w:w="2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5.00</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5.00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r>
      <w:tr>
        <w:tblPrEx>
          <w:tblCellMar>
            <w:top w:w="0" w:type="dxa"/>
            <w:left w:w="108" w:type="dxa"/>
            <w:bottom w:w="0" w:type="dxa"/>
            <w:right w:w="108" w:type="dxa"/>
          </w:tblCellMar>
        </w:tblPrEx>
        <w:trPr>
          <w:trHeight w:val="1641" w:hRule="atLeast"/>
          <w:jc w:val="center"/>
        </w:trPr>
        <w:tc>
          <w:tcPr>
            <w:tcW w:w="24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8286" w:type="dxa"/>
            <w:gridSpan w:val="7"/>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top"/>
              <w:rPr>
                <w:rFonts w:hint="eastAsia" w:ascii="宋体" w:hAnsi="宋体" w:cs="宋体"/>
                <w:color w:val="auto"/>
                <w:sz w:val="18"/>
                <w:szCs w:val="18"/>
              </w:rPr>
            </w:pPr>
            <w:r>
              <w:rPr>
                <w:rFonts w:hint="eastAsia" w:ascii="宋体" w:hAnsi="宋体" w:cs="宋体"/>
                <w:color w:val="auto"/>
                <w:kern w:val="0"/>
                <w:sz w:val="18"/>
                <w:szCs w:val="18"/>
                <w:lang w:bidi="ar"/>
              </w:rPr>
              <w:t>1、通过对阿乐惠烈士陵园纪念碑和烈士墓等基础设施的修缮，修缮维护面积500平方米，烈士陵园修缮时间为3月份，修缮完成时间为8月份，提高烈士陵园整体环境质量，确保其历史、文化价值和纪念意思得到充分体现，为市民和游客提供一个庄重的优美的纪念场所，推动红色旅游发展。</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2、提高烈士陵园的公共服务能力，满足社会各界对爱国主义教育、缅怀先烈，红色旅游等方面的需求，提升烈士陵园的社会影响力和知名度。</w:t>
            </w:r>
          </w:p>
        </w:tc>
      </w:tr>
      <w:tr>
        <w:tblPrEx>
          <w:tblCellMar>
            <w:top w:w="0" w:type="dxa"/>
            <w:left w:w="108" w:type="dxa"/>
            <w:bottom w:w="0" w:type="dxa"/>
            <w:right w:w="108" w:type="dxa"/>
          </w:tblCellMar>
        </w:tblPrEx>
        <w:trPr>
          <w:trHeight w:val="650" w:hRule="atLeast"/>
          <w:jc w:val="center"/>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650" w:hRule="atLeast"/>
          <w:jc w:val="center"/>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46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修缮烈士陵园数量</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≥1个</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5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438" w:type="dxa"/>
            <w:tcBorders>
              <w:top w:val="nil"/>
              <w:left w:val="nil"/>
              <w:bottom w:val="nil"/>
              <w:right w:val="nil"/>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烈士陵园修缮维护面积</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≥500平方米</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5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6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烈士陵园建筑保护率</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5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烈士陵园修缮验收合格率</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5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烈士陵园修缮开始时间</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≤3月</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50" w:hRule="atLeast"/>
          <w:jc w:val="center"/>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烈士陵园修缮完成时间</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≤10月</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r>
              <w:rPr>
                <w:rFonts w:hint="eastAsia" w:ascii="宋体" w:hAnsi="宋体" w:cs="宋体"/>
                <w:color w:val="auto"/>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50" w:hRule="atLeast"/>
          <w:jc w:val="center"/>
        </w:trPr>
        <w:tc>
          <w:tcPr>
            <w:tcW w:w="99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464"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24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烈士陵园修缮费支出</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≤5万元</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r>
              <w:rPr>
                <w:rFonts w:hint="eastAsia" w:ascii="宋体" w:hAnsi="宋体" w:cs="宋体"/>
                <w:color w:val="auto"/>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50" w:hRule="atLeast"/>
          <w:jc w:val="center"/>
        </w:trPr>
        <w:tc>
          <w:tcPr>
            <w:tcW w:w="99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464"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2438"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传承红色基因，弘扬爱国主义精神</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效果明显</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660" w:hRule="atLeast"/>
          <w:jc w:val="center"/>
        </w:trPr>
        <w:tc>
          <w:tcPr>
            <w:tcW w:w="99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64"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cs="宋体"/>
                <w:color w:val="auto"/>
                <w:sz w:val="18"/>
                <w:szCs w:val="18"/>
              </w:rPr>
            </w:pPr>
          </w:p>
        </w:tc>
        <w:tc>
          <w:tcPr>
            <w:tcW w:w="2438"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提高烈士陵园的公共服务能力</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有效提高</w:t>
            </w:r>
          </w:p>
        </w:tc>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15</w:t>
            </w:r>
          </w:p>
        </w:tc>
        <w:tc>
          <w:tcPr>
            <w:tcW w:w="11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bl>
    <w:p>
      <w:pPr>
        <w:rPr>
          <w:color w:val="auto"/>
        </w:rPr>
      </w:pPr>
      <w:r>
        <w:rPr>
          <w:color w:val="auto"/>
        </w:rPr>
        <w:br w:type="page"/>
      </w:r>
    </w:p>
    <w:tbl>
      <w:tblPr>
        <w:tblStyle w:val="4"/>
        <w:tblW w:w="9880" w:type="dxa"/>
        <w:jc w:val="center"/>
        <w:tblLayout w:type="fixed"/>
        <w:tblCellMar>
          <w:top w:w="0" w:type="dxa"/>
          <w:left w:w="108" w:type="dxa"/>
          <w:bottom w:w="0" w:type="dxa"/>
          <w:right w:w="108" w:type="dxa"/>
        </w:tblCellMar>
      </w:tblPr>
      <w:tblGrid>
        <w:gridCol w:w="910"/>
        <w:gridCol w:w="1346"/>
        <w:gridCol w:w="1881"/>
        <w:gridCol w:w="886"/>
        <w:gridCol w:w="1160"/>
        <w:gridCol w:w="869"/>
        <w:gridCol w:w="960"/>
        <w:gridCol w:w="1085"/>
        <w:gridCol w:w="783"/>
      </w:tblGrid>
      <w:tr>
        <w:tblPrEx>
          <w:tblCellMar>
            <w:top w:w="0" w:type="dxa"/>
            <w:left w:w="108" w:type="dxa"/>
            <w:bottom w:w="0" w:type="dxa"/>
            <w:right w:w="108" w:type="dxa"/>
          </w:tblCellMar>
        </w:tblPrEx>
        <w:trPr>
          <w:trHeight w:val="569" w:hRule="atLeast"/>
          <w:jc w:val="center"/>
        </w:trPr>
        <w:tc>
          <w:tcPr>
            <w:tcW w:w="988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32"/>
                <w:szCs w:val="32"/>
              </w:rPr>
            </w:pPr>
            <w:r>
              <w:rPr>
                <w:rFonts w:hint="eastAsia" w:ascii="宋体" w:hAnsi="宋体" w:cs="宋体"/>
                <w:b/>
                <w:bCs/>
                <w:color w:val="auto"/>
                <w:kern w:val="0"/>
                <w:sz w:val="32"/>
                <w:szCs w:val="32"/>
                <w:lang w:bidi="ar"/>
              </w:rPr>
              <w:t>项目支出绩效目标表</w:t>
            </w:r>
          </w:p>
        </w:tc>
      </w:tr>
      <w:tr>
        <w:tblPrEx>
          <w:tblCellMar>
            <w:top w:w="0" w:type="dxa"/>
            <w:left w:w="108" w:type="dxa"/>
            <w:bottom w:w="0" w:type="dxa"/>
            <w:right w:w="108" w:type="dxa"/>
          </w:tblCellMar>
        </w:tblPrEx>
        <w:trPr>
          <w:trHeight w:val="313" w:hRule="atLeast"/>
          <w:jc w:val="center"/>
        </w:trPr>
        <w:tc>
          <w:tcPr>
            <w:tcW w:w="988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4"/>
              </w:rPr>
            </w:pPr>
            <w:r>
              <w:rPr>
                <w:rFonts w:hint="eastAsia" w:ascii="宋体" w:hAnsi="宋体" w:cs="宋体"/>
                <w:color w:val="auto"/>
                <w:kern w:val="0"/>
                <w:sz w:val="24"/>
                <w:lang w:bidi="ar"/>
              </w:rPr>
              <w:t>(2024年)</w:t>
            </w:r>
          </w:p>
        </w:tc>
      </w:tr>
      <w:tr>
        <w:tblPrEx>
          <w:tblCellMar>
            <w:top w:w="0" w:type="dxa"/>
            <w:left w:w="108" w:type="dxa"/>
            <w:bottom w:w="0" w:type="dxa"/>
            <w:right w:w="108" w:type="dxa"/>
          </w:tblCellMar>
        </w:tblPrEx>
        <w:trPr>
          <w:trHeight w:val="461" w:hRule="atLeast"/>
          <w:jc w:val="center"/>
        </w:trPr>
        <w:tc>
          <w:tcPr>
            <w:tcW w:w="2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76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托克逊县退役军人事务局</w:t>
            </w:r>
          </w:p>
        </w:tc>
      </w:tr>
      <w:tr>
        <w:tblPrEx>
          <w:tblCellMar>
            <w:top w:w="0" w:type="dxa"/>
            <w:left w:w="108" w:type="dxa"/>
            <w:bottom w:w="0" w:type="dxa"/>
            <w:right w:w="108" w:type="dxa"/>
          </w:tblCellMar>
        </w:tblPrEx>
        <w:trPr>
          <w:trHeight w:val="578" w:hRule="atLeast"/>
          <w:jc w:val="center"/>
        </w:trPr>
        <w:tc>
          <w:tcPr>
            <w:tcW w:w="2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39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2024年“60周岁农村籍退役士兵”丧葬费</w:t>
            </w:r>
          </w:p>
        </w:tc>
        <w:tc>
          <w:tcPr>
            <w:tcW w:w="18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古再力努尔·艾合买提</w:t>
            </w:r>
          </w:p>
        </w:tc>
      </w:tr>
      <w:tr>
        <w:tblPrEx>
          <w:tblCellMar>
            <w:top w:w="0" w:type="dxa"/>
            <w:left w:w="108" w:type="dxa"/>
            <w:bottom w:w="0" w:type="dxa"/>
            <w:right w:w="108" w:type="dxa"/>
          </w:tblCellMar>
        </w:tblPrEx>
        <w:trPr>
          <w:trHeight w:val="739" w:hRule="atLeast"/>
          <w:jc w:val="center"/>
        </w:trPr>
        <w:tc>
          <w:tcPr>
            <w:tcW w:w="2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r>
      <w:tr>
        <w:tblPrEx>
          <w:tblCellMar>
            <w:top w:w="0" w:type="dxa"/>
            <w:left w:w="108" w:type="dxa"/>
            <w:bottom w:w="0" w:type="dxa"/>
            <w:right w:w="108" w:type="dxa"/>
          </w:tblCellMar>
        </w:tblPrEx>
        <w:trPr>
          <w:trHeight w:val="862" w:hRule="atLeast"/>
          <w:jc w:val="center"/>
        </w:trPr>
        <w:tc>
          <w:tcPr>
            <w:tcW w:w="22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7624"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通过60周岁以上农村籍退役士兵”丧葬费、每人1000元，帮助退役士兵家庭解决丧葬费用问题，减轻其经济压力。</w:t>
            </w:r>
          </w:p>
        </w:tc>
      </w:tr>
      <w:tr>
        <w:tblPrEx>
          <w:tblCellMar>
            <w:top w:w="0" w:type="dxa"/>
            <w:left w:w="108" w:type="dxa"/>
            <w:bottom w:w="0" w:type="dxa"/>
            <w:right w:w="108" w:type="dxa"/>
          </w:tblCellMar>
        </w:tblPrEx>
        <w:trPr>
          <w:trHeight w:val="804"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862"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34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60周岁以上农村籍退役士兵丧葬费补助政策覆盖率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1146"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46"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60周岁以上农村籍退役士兵丧葬补助工作完成率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工作资料、说明材料</w:t>
            </w:r>
          </w:p>
        </w:tc>
      </w:tr>
      <w:tr>
        <w:tblPrEx>
          <w:tblCellMar>
            <w:top w:w="0" w:type="dxa"/>
            <w:left w:w="108" w:type="dxa"/>
            <w:bottom w:w="0" w:type="dxa"/>
            <w:right w:w="108" w:type="dxa"/>
          </w:tblCellMar>
        </w:tblPrEx>
        <w:trPr>
          <w:trHeight w:val="839"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46"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丧葬补助标准按规定执行率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9"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补助发放及时率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9" w:hRule="atLeast"/>
          <w:jc w:val="center"/>
        </w:trPr>
        <w:tc>
          <w:tcPr>
            <w:tcW w:w="910" w:type="dxa"/>
            <w:tcBorders>
              <w:top w:val="single" w:color="000000" w:sz="4" w:space="0"/>
              <w:left w:val="single" w:color="000000" w:sz="4" w:space="0"/>
              <w:bottom w:val="single" w:color="auto" w:sz="4" w:space="0"/>
              <w:right w:val="nil"/>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346"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60周岁以上农村籍退役士兵丧葬费</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1000元/人</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预算支出标准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1000元/人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39" w:hRule="atLeast"/>
          <w:jc w:val="center"/>
        </w:trPr>
        <w:tc>
          <w:tcPr>
            <w:tcW w:w="91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346"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1881"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优抚政策落实率</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r>
        <w:tblPrEx>
          <w:tblCellMar>
            <w:top w:w="0" w:type="dxa"/>
            <w:left w:w="108" w:type="dxa"/>
            <w:bottom w:w="0" w:type="dxa"/>
            <w:right w:w="108" w:type="dxa"/>
          </w:tblCellMar>
        </w:tblPrEx>
        <w:trPr>
          <w:trHeight w:val="871" w:hRule="atLeast"/>
          <w:jc w:val="center"/>
        </w:trPr>
        <w:tc>
          <w:tcPr>
            <w:tcW w:w="910"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46"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cs="宋体"/>
                <w:color w:val="auto"/>
                <w:sz w:val="18"/>
                <w:szCs w:val="18"/>
              </w:rPr>
            </w:pPr>
          </w:p>
        </w:tc>
        <w:tc>
          <w:tcPr>
            <w:tcW w:w="1881" w:type="dxa"/>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帮助退役士兵家庭丧葬费用问题，减轻经济压力</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11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说明材料</w:t>
            </w:r>
          </w:p>
        </w:tc>
      </w:tr>
    </w:tbl>
    <w:p>
      <w:pPr>
        <w:rPr>
          <w:color w:val="auto"/>
        </w:rPr>
      </w:pPr>
    </w:p>
    <w:p>
      <w:pPr>
        <w:widowControl/>
        <w:jc w:val="center"/>
        <w:rPr>
          <w:rFonts w:hint="eastAsia" w:ascii="宋体" w:hAnsi="宋体"/>
          <w:color w:val="auto"/>
          <w:sz w:val="18"/>
          <w:szCs w:val="18"/>
        </w:rPr>
      </w:pPr>
    </w:p>
    <w:p>
      <w:pPr>
        <w:widowControl/>
        <w:spacing w:line="560" w:lineRule="exact"/>
        <w:ind w:firstLine="630" w:firstLineChars="196"/>
        <w:jc w:val="left"/>
        <w:rPr>
          <w:rFonts w:hint="eastAsia"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520" w:type="dxa"/>
        <w:jc w:val="center"/>
        <w:tblLayout w:type="autofit"/>
        <w:tblCellMar>
          <w:top w:w="0" w:type="dxa"/>
          <w:left w:w="108" w:type="dxa"/>
          <w:bottom w:w="0" w:type="dxa"/>
          <w:right w:w="108" w:type="dxa"/>
        </w:tblCellMar>
      </w:tblPr>
      <w:tblGrid>
        <w:gridCol w:w="1000"/>
        <w:gridCol w:w="1120"/>
        <w:gridCol w:w="1940"/>
        <w:gridCol w:w="1180"/>
        <w:gridCol w:w="1080"/>
        <w:gridCol w:w="840"/>
        <w:gridCol w:w="840"/>
        <w:gridCol w:w="1020"/>
        <w:gridCol w:w="1500"/>
      </w:tblGrid>
      <w:tr>
        <w:tblPrEx>
          <w:tblCellMar>
            <w:top w:w="0" w:type="dxa"/>
            <w:left w:w="108" w:type="dxa"/>
            <w:bottom w:w="0" w:type="dxa"/>
            <w:right w:w="108" w:type="dxa"/>
          </w:tblCellMar>
        </w:tblPrEx>
        <w:trPr>
          <w:trHeight w:val="420" w:hRule="atLeast"/>
          <w:jc w:val="center"/>
        </w:trPr>
        <w:tc>
          <w:tcPr>
            <w:tcW w:w="10520" w:type="dxa"/>
            <w:gridSpan w:val="9"/>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52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4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托克逊县退役军人事务局</w:t>
            </w:r>
          </w:p>
        </w:tc>
      </w:tr>
      <w:tr>
        <w:tblPrEx>
          <w:tblCellMar>
            <w:top w:w="0" w:type="dxa"/>
            <w:left w:w="108" w:type="dxa"/>
            <w:bottom w:w="0" w:type="dxa"/>
            <w:right w:w="108" w:type="dxa"/>
          </w:tblCellMar>
        </w:tblPrEx>
        <w:trPr>
          <w:trHeight w:val="44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504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综合业务经费（单位实有资金）</w:t>
            </w:r>
          </w:p>
        </w:tc>
        <w:tc>
          <w:tcPr>
            <w:tcW w:w="18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阿丽亚</w:t>
            </w:r>
          </w:p>
        </w:tc>
      </w:tr>
      <w:tr>
        <w:tblPrEx>
          <w:tblCellMar>
            <w:top w:w="0" w:type="dxa"/>
            <w:left w:w="108" w:type="dxa"/>
            <w:bottom w:w="0" w:type="dxa"/>
            <w:right w:w="108" w:type="dxa"/>
          </w:tblCellMar>
        </w:tblPrEx>
        <w:trPr>
          <w:trHeight w:val="44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5.00</w:t>
            </w:r>
          </w:p>
        </w:tc>
      </w:tr>
      <w:tr>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400"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全面落实吐鲁番市工作要求，进一步做好托克逊县双拥创建和退役军人服务保障体系建设工作，通过申请湖南援疆资金，为不少于16个村（社区）退役军人服务站建设政治文化墙，打造1个信访室，全面加强退役军人服务中心（站）工作规范化运行，加强服务保障体系建设的转优升级工作。</w:t>
            </w:r>
          </w:p>
        </w:tc>
      </w:tr>
      <w:tr>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退役军人服务站政治文化墙建设数量</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≥16个</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信访室打造数量</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=1个</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政治文化墙验收合格率</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项目资金支付率</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项目按时完成率</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退役军人服务站政治文化墙建设成本</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&lt;=4.7万元</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18"/>
                <w:szCs w:val="18"/>
              </w:rPr>
            </w:pP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信访室打造成本</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&lt;=0.3万元</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加强退役军人服务中心（站）工作规范化运行</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有效加强</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说明材料</w:t>
            </w:r>
          </w:p>
        </w:tc>
      </w:tr>
    </w:tbl>
    <w:p>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ind w:firstLine="640" w:firstLineChars="200"/>
        <w:rPr>
          <w:rFonts w:hint="eastAsia" w:ascii="仿宋_GB2312" w:hAnsi="黑体" w:eastAsia="仿宋_GB2312"/>
          <w:color w:val="auto"/>
          <w:sz w:val="32"/>
          <w:szCs w:val="32"/>
        </w:rPr>
      </w:pPr>
      <w:bookmarkStart w:id="0" w:name="_Hlk168517707"/>
      <w:r>
        <w:rPr>
          <w:rFonts w:hint="eastAsia" w:ascii="仿宋_GB2312" w:hAnsi="黑体" w:eastAsia="仿宋_GB2312"/>
          <w:color w:val="auto"/>
          <w:sz w:val="32"/>
          <w:szCs w:val="32"/>
        </w:rPr>
        <w:t>1.本次未公开项目支出绩效目标表共有10个，其中：sm项目4个，涉及预算金额</w:t>
      </w:r>
      <w:r>
        <w:rPr>
          <w:rFonts w:ascii="仿宋_GB2312" w:hAnsi="黑体" w:eastAsia="仿宋_GB2312"/>
          <w:color w:val="auto"/>
          <w:sz w:val="32"/>
          <w:szCs w:val="32"/>
        </w:rPr>
        <w:t>26</w:t>
      </w:r>
      <w:r>
        <w:rPr>
          <w:rFonts w:hint="eastAsia" w:ascii="仿宋_GB2312" w:hAnsi="黑体" w:eastAsia="仿宋_GB2312"/>
          <w:color w:val="auto"/>
          <w:sz w:val="32"/>
          <w:szCs w:val="32"/>
          <w:lang w:val="en-US" w:eastAsia="zh-CN"/>
        </w:rPr>
        <w:t>0.80</w:t>
      </w:r>
      <w:r>
        <w:rPr>
          <w:rFonts w:hint="eastAsia" w:ascii="仿宋_GB2312" w:hAnsi="黑体" w:eastAsia="仿宋_GB2312"/>
          <w:color w:val="auto"/>
          <w:sz w:val="32"/>
          <w:szCs w:val="32"/>
        </w:rPr>
        <w:t>万元；转移支付项目</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rPr>
        <w:t>个，涉及预算金额510.70万元；转移支付sm项目2个，涉及预算金额0.84万元。根据规定、绩效目标表完全不予公开。</w:t>
      </w:r>
    </w:p>
    <w:p>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2.</w:t>
      </w:r>
      <w:r>
        <w:rPr>
          <w:rFonts w:hint="eastAsia" w:ascii="仿宋_GB2312" w:hAnsi="黑体" w:eastAsia="仿宋_GB2312"/>
          <w:color w:val="auto"/>
          <w:sz w:val="32"/>
          <w:szCs w:val="32"/>
        </w:rPr>
        <w:t>本</w:t>
      </w:r>
      <w:r>
        <w:rPr>
          <w:rFonts w:hint="eastAsia" w:ascii="仿宋_GB2312" w:hAnsi="黑体" w:eastAsia="仿宋_GB2312"/>
          <w:color w:val="auto"/>
          <w:sz w:val="32"/>
          <w:szCs w:val="32"/>
          <w:lang w:val="en-US" w:eastAsia="zh-CN"/>
        </w:rPr>
        <w:t>单位</w:t>
      </w:r>
      <w:r>
        <w:rPr>
          <w:rFonts w:hint="eastAsia" w:ascii="仿宋_GB2312" w:hAnsi="黑体" w:eastAsia="仿宋_GB2312"/>
          <w:color w:val="auto"/>
          <w:sz w:val="32"/>
          <w:szCs w:val="32"/>
        </w:rPr>
        <w:t>当年非财政拨款项目为1个，涉及资金为</w:t>
      </w:r>
      <w:r>
        <w:rPr>
          <w:rFonts w:hint="eastAsia" w:ascii="仿宋_GB2312" w:hAnsi="黑体" w:eastAsia="仿宋_GB2312"/>
          <w:color w:val="auto"/>
          <w:sz w:val="32"/>
          <w:szCs w:val="32"/>
          <w:lang w:val="en-US" w:eastAsia="zh-CN"/>
        </w:rPr>
        <w:t>15.00</w:t>
      </w:r>
      <w:r>
        <w:rPr>
          <w:rFonts w:hint="eastAsia" w:ascii="仿宋_GB2312" w:hAnsi="黑体" w:eastAsia="仿宋_GB2312"/>
          <w:color w:val="auto"/>
          <w:sz w:val="32"/>
          <w:szCs w:val="32"/>
        </w:rPr>
        <w:t>万元，绩效目标表未公开原因是单位资金用于运转类，绩效目标表不予公开。</w:t>
      </w:r>
    </w:p>
    <w:bookmarkEnd w:id="0"/>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托克逊县退役军人事务局</w:t>
      </w:r>
    </w:p>
    <w:p>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0260E"/>
    <w:rsid w:val="00054647"/>
    <w:rsid w:val="00092008"/>
    <w:rsid w:val="000B7823"/>
    <w:rsid w:val="000F11F8"/>
    <w:rsid w:val="00130E0D"/>
    <w:rsid w:val="001F489C"/>
    <w:rsid w:val="00294ED6"/>
    <w:rsid w:val="002B3695"/>
    <w:rsid w:val="003C0AA1"/>
    <w:rsid w:val="00450133"/>
    <w:rsid w:val="00501783"/>
    <w:rsid w:val="005B5B57"/>
    <w:rsid w:val="00653EF8"/>
    <w:rsid w:val="00677143"/>
    <w:rsid w:val="00690987"/>
    <w:rsid w:val="00761B62"/>
    <w:rsid w:val="00796643"/>
    <w:rsid w:val="007F1131"/>
    <w:rsid w:val="008C2796"/>
    <w:rsid w:val="00917285"/>
    <w:rsid w:val="00921001"/>
    <w:rsid w:val="009D7202"/>
    <w:rsid w:val="00A077C9"/>
    <w:rsid w:val="00A2682C"/>
    <w:rsid w:val="00A343C5"/>
    <w:rsid w:val="00A836C6"/>
    <w:rsid w:val="00B14A82"/>
    <w:rsid w:val="00B62DCA"/>
    <w:rsid w:val="00BB3DFE"/>
    <w:rsid w:val="00BC0D2F"/>
    <w:rsid w:val="00BD1AB7"/>
    <w:rsid w:val="00CE64D8"/>
    <w:rsid w:val="00D478C2"/>
    <w:rsid w:val="00D90C59"/>
    <w:rsid w:val="00E96A3B"/>
    <w:rsid w:val="00F60ABA"/>
    <w:rsid w:val="07A3229D"/>
    <w:rsid w:val="16894468"/>
    <w:rsid w:val="1EF13A9D"/>
    <w:rsid w:val="2C952D6F"/>
    <w:rsid w:val="3DDC7F8B"/>
    <w:rsid w:val="505539A0"/>
    <w:rsid w:val="60106F0C"/>
    <w:rsid w:val="69DE6BF8"/>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200BE-BC09-40FB-B5E6-C68B24C72F8E}">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2003</Words>
  <Characters>2535</Characters>
  <Lines>195</Lines>
  <Paragraphs>55</Paragraphs>
  <TotalTime>20</TotalTime>
  <ScaleCrop>false</ScaleCrop>
  <LinksUpToDate>false</LinksUpToDate>
  <CharactersWithSpaces>2605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2025-08-12T05:06:04Z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A21425D7F119437F95693A58504230DB_13</vt:lpwstr>
  </property>
  <property fmtid="{D5CDD505-2E9C-101B-9397-08002B2CF9AE}" pid="4" name="KSOTemplateDocerSaveRecord">
    <vt:lpwstr>eyJoZGlkIjoiMTcwMGY5N2M4YzI3ODdkZTMzOGFhZTcwMTk4MTdlMjAiLCJ1c2VySWQiOiI0OTQ1NzM3OTEifQ==</vt:lpwstr>
  </property>
</Properties>
</file>